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explains step by step how garments are folded, put in polybags, labelled and packed at the packing table at Eroglu Knitting (EMS), so that all packing operators work in the same way and every packed garment matches the customer packing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packing operators, the Final and Packing Supervisor and the Final Quality Controller at the packing tables after the metal detector and before lotting. It supports EMS.ÜR.PRO.05.11.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Packing Operator:</w:t>
      </w:r>
      <w:r>
        <w:rPr>
          <w:rFonts w:ascii="Calibri" w:hAnsi="Calibri" w:cs="Arial"/>
          <w:sz w:val="24"/>
          <w:szCs w:val="24"/>
        </w:rPr>
        <w:t xml:space="preserve"> Folds, bags, labels and counts according to the packing instruction and the approved first piece.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and Packing Supervisor:</w:t>
      </w:r>
      <w:r>
        <w:rPr>
          <w:rFonts w:ascii="Calibri" w:hAnsi="Calibri" w:cs="Arial"/>
          <w:sz w:val="24"/>
          <w:szCs w:val="24"/>
        </w:rPr>
        <w:t xml:space="preserve"> Prepares the table and materials, explains the packing instruction and signs the Packing Control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Quality Controller:</w:t>
      </w:r>
      <w:r>
        <w:rPr>
          <w:rFonts w:ascii="Calibri" w:hAnsi="Calibri" w:cs="Arial"/>
          <w:sz w:val="24"/>
          <w:szCs w:val="24"/>
        </w:rPr>
        <w:t xml:space="preserve"> Approves the first piece and checks barcodes and labels.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Officer:</w:t>
      </w:r>
      <w:r>
        <w:rPr>
          <w:rFonts w:ascii="Calibri" w:hAnsi="Calibri" w:cs="Arial"/>
          <w:sz w:val="24"/>
          <w:szCs w:val="24"/>
        </w:rPr>
        <w:t xml:space="preserve"> Delivers approved packing materials only.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First Piece:</w:t>
      </w:r>
      <w:r>
        <w:rPr>
          <w:rFonts w:ascii="Calibri" w:hAnsi="Calibri" w:cs="Arial"/>
          <w:sz w:val="24"/>
          <w:szCs w:val="24"/>
        </w:rPr>
        <w:t xml:space="preserve"> The first garment packed for each order, colour and size; it is approved before bulk packing.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Inner Pack:</w:t>
      </w:r>
      <w:r>
        <w:rPr>
          <w:rFonts w:ascii="Calibri" w:hAnsi="Calibri" w:cs="Arial"/>
          <w:sz w:val="24"/>
          <w:szCs w:val="24"/>
        </w:rPr>
        <w:t xml:space="preserve"> A bag or unit with a defined number of garments inside a carton.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Assortment:</w:t>
      </w:r>
      <w:r>
        <w:rPr>
          <w:rFonts w:ascii="Calibri" w:hAnsi="Calibri" w:cs="Arial"/>
          <w:sz w:val="24"/>
          <w:szCs w:val="24"/>
        </w:rPr>
        <w:t xml:space="preserve"> Sizes or colours packed in a defined ratio.</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PACKING</w:t>
      </w:r>
    </w:p>
    <w:p>
      <w:pPr>
        <w:pStyle w:val="ListeParagraf"/>
        <w:spacing w:after="80"/>
        <w:ind w:left="709" w:right="0"/>
        <w:jc w:val="both"/>
      </w:pPr>
      <w:r>
        <w:rPr>
          <w:rFonts w:ascii="Calibri" w:hAnsi="Calibri" w:cs="Arial"/>
          <w:sz w:val="24"/>
          <w:szCs w:val="24"/>
        </w:rPr>
        <w:t xml:space="preserve">1.1. Read the packing instruction of the order: folding method, polybag type, labels, barcode, assortment and quantity per inner pack.</w:t>
      </w:r>
    </w:p>
    <w:p>
      <w:pPr>
        <w:pStyle w:val="ListeParagraf"/>
        <w:spacing w:after="80"/>
        <w:ind w:left="709" w:right="0"/>
        <w:jc w:val="both"/>
      </w:pPr>
      <w:r>
        <w:rPr>
          <w:rFonts w:ascii="Calibri" w:hAnsi="Calibri" w:cs="Arial"/>
          <w:sz w:val="24"/>
          <w:szCs w:val="24"/>
        </w:rPr>
        <w:t xml:space="preserve">1.2. Clear the table of materials of other orders. Check that polybags, hangers, tissue, labels and stickers match the order, size and colour.</w:t>
      </w:r>
    </w:p>
    <w:p>
      <w:pPr>
        <w:pStyle w:val="ListeParagraf"/>
        <w:spacing w:after="80"/>
        <w:ind w:left="709" w:right="0"/>
        <w:jc w:val="both"/>
      </w:pPr>
      <w:r>
        <w:rPr>
          <w:rFonts w:ascii="Calibri" w:hAnsi="Calibri" w:cs="Arial"/>
          <w:sz w:val="24"/>
          <w:szCs w:val="24"/>
        </w:rPr>
        <w:t xml:space="preserve">1.3. Take only garments that have passed the metal detector (EMS.QA.TL.02.06) and are accompanied by the optical inspection form.</w:t>
      </w:r>
    </w:p>
    <w:p>
      <w:pPr>
        <w:pStyle w:val="ListeParagraf"/>
        <w:spacing w:after="80"/>
        <w:ind w:left="709" w:right="0"/>
        <w:jc w:val="both"/>
      </w:pPr>
      <w:r>
        <w:rPr>
          <w:rFonts w:ascii="Calibri" w:hAnsi="Calibri" w:cs="Arial"/>
          <w:sz w:val="24"/>
          <w:szCs w:val="24"/>
        </w:rPr>
        <w:t xml:space="preserve">1.4. Pack the first piece and show it to the Final Quality Controller. Do not continue until it is approved and recorded in the Packing Control Form (EMS.ÜR.FRM.05.07).</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FOLDING AND BAGGING</w:t>
      </w:r>
    </w:p>
    <w:p>
      <w:pPr>
        <w:pStyle w:val="ListeParagraf"/>
        <w:spacing w:after="80"/>
        <w:ind w:left="709" w:right="0"/>
        <w:jc w:val="both"/>
      </w:pPr>
      <w:r>
        <w:rPr>
          <w:rFonts w:ascii="Calibri" w:hAnsi="Calibri" w:cs="Arial"/>
          <w:sz w:val="24"/>
          <w:szCs w:val="24"/>
        </w:rPr>
        <w:t xml:space="preserve">2.1. Fold the garment exactly as in the approved first piece and the packing instruction, with the labels visible and without creases.</w:t>
      </w:r>
    </w:p>
    <w:p>
      <w:pPr>
        <w:pStyle w:val="ListeParagraf"/>
        <w:spacing w:after="80"/>
        <w:ind w:left="709" w:right="0"/>
        <w:jc w:val="both"/>
      </w:pPr>
      <w:r>
        <w:rPr>
          <w:rFonts w:ascii="Calibri" w:hAnsi="Calibri" w:cs="Arial"/>
          <w:sz w:val="24"/>
          <w:szCs w:val="24"/>
        </w:rPr>
        <w:t xml:space="preserve">2.2. Add hanger, collar support, tissue or clip only as specified. Do not use pins or metal staples.</w:t>
      </w:r>
    </w:p>
    <w:p>
      <w:pPr>
        <w:pStyle w:val="ListeParagraf"/>
        <w:spacing w:after="80"/>
        <w:ind w:left="709" w:right="0"/>
        <w:jc w:val="both"/>
      </w:pPr>
      <w:r>
        <w:rPr>
          <w:rFonts w:ascii="Calibri" w:hAnsi="Calibri" w:cs="Arial"/>
          <w:sz w:val="24"/>
          <w:szCs w:val="24"/>
        </w:rPr>
        <w:t xml:space="preserve">2.3. Put the garment in the specified polybag. Check that the ventilation holes and suffocation warning are present, then close or seal the bag as specified.</w:t>
      </w:r>
    </w:p>
    <w:p>
      <w:pPr>
        <w:pStyle w:val="ListeParagraf"/>
        <w:spacing w:after="80"/>
        <w:ind w:left="709" w:right="0"/>
        <w:jc w:val="both"/>
      </w:pPr>
      <w:r>
        <w:rPr>
          <w:rFonts w:ascii="Calibri" w:hAnsi="Calibri" w:cs="Arial"/>
          <w:sz w:val="24"/>
          <w:szCs w:val="24"/>
        </w:rPr>
        <w:t xml:space="preserve">2.4. Do not pack a garment that is dirty, damaged, wet or has fallen on the floor; put it in the rework container and tell the supervisor.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LABELLING</w:t>
      </w:r>
    </w:p>
    <w:p>
      <w:pPr>
        <w:pStyle w:val="ListeParagraf"/>
        <w:spacing w:after="80"/>
        <w:ind w:left="709" w:right="0"/>
        <w:jc w:val="both"/>
      </w:pPr>
      <w:r>
        <w:rPr>
          <w:rFonts w:ascii="Calibri" w:hAnsi="Calibri" w:cs="Arial"/>
          <w:sz w:val="24"/>
          <w:szCs w:val="24"/>
        </w:rPr>
        <w:t xml:space="preserve">3.1. Put each label and sticker at the position shown in the instruction. Check size, colour and content against the order.</w:t>
      </w:r>
    </w:p>
    <w:p>
      <w:pPr>
        <w:pStyle w:val="ListeParagraf"/>
        <w:spacing w:after="80"/>
        <w:ind w:left="709" w:right="0"/>
        <w:jc w:val="both"/>
      </w:pPr>
      <w:r>
        <w:rPr>
          <w:rFonts w:ascii="Calibri" w:hAnsi="Calibri" w:cs="Arial"/>
          <w:sz w:val="24"/>
          <w:szCs w:val="24"/>
        </w:rPr>
        <w:t xml:space="preserve">3.2. Do not stick a label on top of another label. Wrong or extra labels are collected in the label box and given to the supervisor.</w:t>
      </w:r>
    </w:p>
    <w:p>
      <w:pPr>
        <w:pStyle w:val="ListeParagraf"/>
        <w:spacing w:after="80"/>
        <w:ind w:left="709" w:right="0"/>
        <w:jc w:val="both"/>
      </w:pPr>
      <w:r>
        <w:rPr>
          <w:rFonts w:ascii="Calibri" w:hAnsi="Calibri" w:cs="Arial"/>
          <w:sz w:val="24"/>
          <w:szCs w:val="24"/>
        </w:rPr>
        <w:t xml:space="preserve">3.3. Keep the barcode readable; if the Final Quality Controller finds a barcode that does not scan or does not match, stop and call the supervisor.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COUNTING AND ARRANGING</w:t>
      </w:r>
    </w:p>
    <w:p>
      <w:pPr>
        <w:pStyle w:val="ListeParagraf"/>
        <w:spacing w:after="80"/>
        <w:ind w:left="709" w:right="0"/>
        <w:jc w:val="both"/>
      </w:pPr>
      <w:r>
        <w:rPr>
          <w:rFonts w:ascii="Calibri" w:hAnsi="Calibri" w:cs="Arial"/>
          <w:sz w:val="24"/>
          <w:szCs w:val="24"/>
        </w:rPr>
        <w:t xml:space="preserve">4.1. Count the garments in each inner pack and arrange them in the assortment ratio of the packing list. Check the count a second time.</w:t>
      </w:r>
    </w:p>
    <w:p>
      <w:pPr>
        <w:pStyle w:val="ListeParagraf"/>
        <w:spacing w:after="80"/>
        <w:ind w:left="709" w:right="0"/>
        <w:jc w:val="both"/>
      </w:pPr>
      <w:r>
        <w:rPr>
          <w:rFonts w:ascii="Calibri" w:hAnsi="Calibri" w:cs="Arial"/>
          <w:sz w:val="24"/>
          <w:szCs w:val="24"/>
        </w:rPr>
        <w:t xml:space="preserve">4.2. Put the packed units in the marked container for the order, colour and size. Never mix orders, colours or sizes.</w:t>
      </w:r>
    </w:p>
    <w:p>
      <w:pPr>
        <w:pStyle w:val="ListeParagraf"/>
        <w:spacing w:after="80"/>
        <w:ind w:left="709" w:right="0"/>
        <w:jc w:val="both"/>
      </w:pPr>
      <w:r>
        <w:rPr>
          <w:rFonts w:ascii="Calibri" w:hAnsi="Calibri" w:cs="Arial"/>
          <w:sz w:val="24"/>
          <w:szCs w:val="24"/>
        </w:rPr>
        <w:t xml:space="preserve">4.3. Write the quantity packed per size and colour on the Packing Control Form every hour.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HANDOVER AND PROBLEMS</w:t>
      </w:r>
    </w:p>
    <w:p>
      <w:pPr>
        <w:pStyle w:val="ListeParagraf"/>
        <w:spacing w:after="80"/>
        <w:ind w:left="709" w:right="0"/>
        <w:jc w:val="both"/>
      </w:pPr>
      <w:r>
        <w:rPr>
          <w:rFonts w:ascii="Calibri" w:hAnsi="Calibri" w:cs="Arial"/>
          <w:sz w:val="24"/>
          <w:szCs w:val="24"/>
        </w:rPr>
        <w:t xml:space="preserve">5.1. When the container is complete, tell the supervisor; the supervisor hands the units over to lotting (EMS.ÜR.TL.05.14) with the form. Do not put the units in cartons before they are lotted.</w:t>
      </w:r>
    </w:p>
    <w:p>
      <w:pPr>
        <w:pStyle w:val="ListeParagraf"/>
        <w:spacing w:after="80"/>
        <w:ind w:left="709" w:right="0"/>
        <w:jc w:val="both"/>
      </w:pPr>
      <w:r>
        <w:rPr>
          <w:rFonts w:ascii="Calibri" w:hAnsi="Calibri" w:cs="Arial"/>
          <w:sz w:val="24"/>
          <w:szCs w:val="24"/>
        </w:rPr>
        <w:t xml:space="preserve">5.2. For a wrong label, wrong count, torn bag or any doubt, stop the line and call the supervisor. The supervisor informs Quality Assurance, who opens an NCR (EMS.QA.PRO.02.06) when required.</w:t>
      </w:r>
    </w:p>
    <w:p>
      <w:pPr>
        <w:pStyle w:val="ListeParagraf"/>
        <w:spacing w:after="80"/>
        <w:ind w:left="709" w:right="0"/>
        <w:jc w:val="both"/>
      </w:pPr>
      <w:r>
        <w:rPr>
          <w:rFonts w:ascii="Calibri" w:hAnsi="Calibri" w:cs="Arial"/>
          <w:sz w:val="24"/>
          <w:szCs w:val="24"/>
        </w:rPr>
        <w:t xml:space="preserve">5.3. Keep the floor clear, keep cutters in their holders, throw packaging waste in the correct waste bin and use the anti-fatigue mat. Keep polybags away from the face and from children.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EMS.ÜR.PRO.05.11. Packing and Labelling Procedure</w:t>
      </w:r>
    </w:p>
    <w:p>
      <w:pPr>
        <w:pStyle w:val="ListeParagraf"/>
        <w:numPr>
          <w:ilvl w:val="0"/>
          <w:numId w:val="1"/>
        </w:numPr>
        <w:spacing w:after="60"/>
        <w:jc w:val="both"/>
      </w:pPr>
      <w:r>
        <w:rPr>
          <w:rFonts w:ascii="Calibri" w:hAnsi="Calibri" w:cs="Arial"/>
          <w:sz w:val="24"/>
          <w:szCs w:val="24"/>
        </w:rPr>
        <w:t xml:space="preserve">EMS.ÜR.TL.05.06. Ironing and Packing Instruction; EMS.QA.TL.02.06. Metal Detector Test and Record Instruction; EMS.ÜR.TL.05.14. Finished Goods Lot Numbering and Labelling Instruction</w:t>
      </w:r>
    </w:p>
    <w:p>
      <w:pPr>
        <w:pStyle w:val="ListeParagraf"/>
        <w:numPr>
          <w:ilvl w:val="0"/>
          <w:numId w:val="1"/>
        </w:numPr>
        <w:spacing w:after="60"/>
        <w:jc w:val="both"/>
      </w:pPr>
      <w:r>
        <w:rPr>
          <w:rFonts w:ascii="Calibri" w:hAnsi="Calibri" w:cs="Arial"/>
          <w:sz w:val="24"/>
          <w:szCs w:val="24"/>
        </w:rPr>
        <w:t xml:space="preserve">EMS.DP.TL.08.04. Carton Marking, Labelling and Packing List Instruction</w:t>
      </w:r>
    </w:p>
    <w:p>
      <w:pPr>
        <w:pStyle w:val="ListeParagraf"/>
        <w:numPr>
          <w:ilvl w:val="0"/>
          <w:numId w:val="1"/>
        </w:numPr>
        <w:spacing w:after="60"/>
        <w:jc w:val="both"/>
      </w:pPr>
      <w:r>
        <w:rPr>
          <w:rFonts w:ascii="Calibri" w:hAnsi="Calibri" w:cs="Arial"/>
          <w:sz w:val="24"/>
          <w:szCs w:val="24"/>
        </w:rPr>
        <w:t xml:space="preserve">EMS.QA.PRO.02.06. Nonconformance Report (NCR) Procedure</w:t>
      </w:r>
    </w:p>
    <w:p>
      <w:pPr>
        <w:pStyle w:val="ListeParagraf"/>
        <w:numPr>
          <w:ilvl w:val="0"/>
          <w:numId w:val="1"/>
        </w:numPr>
        <w:spacing w:after="60"/>
        <w:jc w:val="both"/>
      </w:pPr>
      <w:r>
        <w:rPr>
          <w:rFonts w:ascii="Calibri" w:hAnsi="Calibri" w:cs="Arial"/>
          <w:sz w:val="24"/>
          <w:szCs w:val="24"/>
        </w:rPr>
        <w:t xml:space="preserve">EMS.ÜR.FRM.05.07 Packing Control Form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MONITORING</w:t>
      </w:r>
    </w:p>
    <w:p>
      <w:pPr>
        <w:pStyle w:val="ListeParagraf"/>
        <w:spacing w:after="80"/>
        <w:ind w:left="709" w:right="0"/>
        <w:jc w:val="both"/>
      </w:pPr>
      <w:r>
        <w:rPr>
          <w:rFonts w:ascii="Calibri" w:hAnsi="Calibri" w:cs="Arial"/>
          <w:sz w:val="24"/>
          <w:szCs w:val="24"/>
        </w:rPr>
        <w:t xml:space="preserve">The supervisor checks the Packing Control Form every shift and reports labelling or counting errors to the production manager. Operators can propose improvements to the supervisor. This instruction is reviewed every year or when the procedure, packing instruction or customer requirement changes.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تشرح هذه التعليمات خطوة بخطوة كيفية طي الملابس ووضعها في أكياس البولي وتعليمها بالملصقات وتعبئتها عند طاولة التعبئة في شركة إيروغلو للتريكو (EMS)، بحيث يعمل جميع عمال التعبئة بالطريقة نفسها وتطابق كل قطعة معبأة تعليمات التعبئة الخاصة بالعميل.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عمال التعبئة ومسؤول الفحص النهائي والتعبئة ومراقب الجودة النهائية عند طاولات التعبئة بعد كاشف المعادن وقبل ترقيم الدفعات. وهي تدعم الإجراء EMS.ÜR.PRO.05.11.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عامل التعبئة:</w:t>
      </w:r>
      <w:r>
        <w:rPr>
          <w:rFonts w:ascii="Calibri" w:hAnsi="Calibri" w:cs="Arial"/>
          <w:rtl/>
          <w:sz w:val="24"/>
          <w:szCs w:val="24"/>
        </w:rPr>
        <w:t xml:space="preserve"> يطوي ويضع في الأكياس ويعلّم ويعد وفق تعليمات التعبئة والقطعة الأولى المعتمدة.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الفحص النهائي والتعبئة:</w:t>
      </w:r>
      <w:r>
        <w:rPr>
          <w:rFonts w:ascii="Calibri" w:hAnsi="Calibri" w:cs="Arial"/>
          <w:rtl/>
          <w:sz w:val="24"/>
          <w:szCs w:val="24"/>
        </w:rPr>
        <w:t xml:space="preserve"> يجهز الطاولة والمواد ويشرح تعليمات التعبئة ويوقع نموذج مراقبة التعبئة.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 الجودة النهائية:</w:t>
      </w:r>
      <w:r>
        <w:rPr>
          <w:rFonts w:ascii="Calibri" w:hAnsi="Calibri" w:cs="Arial"/>
          <w:rtl/>
          <w:sz w:val="24"/>
          <w:szCs w:val="24"/>
        </w:rPr>
        <w:t xml:space="preserve"> يعتمد القطعة الأولى ويفحص الباركود والملصقات.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المستودع:</w:t>
      </w:r>
      <w:r>
        <w:rPr>
          <w:rFonts w:ascii="Calibri" w:hAnsi="Calibri" w:cs="Arial"/>
          <w:rtl/>
          <w:sz w:val="24"/>
          <w:szCs w:val="24"/>
        </w:rPr>
        <w:t xml:space="preserve"> يسلّم مواد التعبئة المعتمدة فقط.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القطعة الأولى:</w:t>
      </w:r>
      <w:r>
        <w:rPr>
          <w:rFonts w:ascii="Calibri" w:hAnsi="Calibri" w:cs="Arial"/>
          <w:rtl/>
          <w:sz w:val="24"/>
          <w:szCs w:val="24"/>
        </w:rPr>
        <w:t xml:space="preserve"> أول قطعة تُعبأ لكل طلب ولون ومقاس؛ وتُعتمد قبل التعبئة الكاملة.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العبوة الداخلية:</w:t>
      </w:r>
      <w:r>
        <w:rPr>
          <w:rFonts w:ascii="Calibri" w:hAnsi="Calibri" w:cs="Arial"/>
          <w:rtl/>
          <w:sz w:val="24"/>
          <w:szCs w:val="24"/>
        </w:rPr>
        <w:t xml:space="preserve"> كيس أو وحدة بعدد محدد من القطع داخل الكرتون.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التشكيلة:</w:t>
      </w:r>
      <w:r>
        <w:rPr>
          <w:rFonts w:ascii="Calibri" w:hAnsi="Calibri" w:cs="Arial"/>
          <w:rtl/>
          <w:sz w:val="24"/>
          <w:szCs w:val="24"/>
        </w:rPr>
        <w:t xml:space="preserve"> مقاسات أو ألوان تُعبأ بنسبة محددة.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التعبئة</w:t>
      </w:r>
    </w:p>
    <w:p>
      <w:pPr>
        <w:pStyle w:val="ListeParagraf"/>
        <w:bidi/>
        <w:spacing w:after="80"/>
        <w:ind w:left="0" w:right="709"/>
        <w:jc w:val="both"/>
      </w:pPr>
      <w:r>
        <w:rPr>
          <w:rFonts w:ascii="Calibri" w:hAnsi="Calibri" w:cs="Arial"/>
          <w:rtl/>
          <w:sz w:val="24"/>
          <w:szCs w:val="24"/>
        </w:rPr>
        <w:t xml:space="preserve">1.1. اقرأ تعليمات التعبئة للطلب: طريقة الطي ونوع الكيس والملصقات والباركود والتشكيلة والكمية في العبوة الداخلية.</w:t>
      </w:r>
    </w:p>
    <w:p>
      <w:pPr>
        <w:pStyle w:val="ListeParagraf"/>
        <w:bidi/>
        <w:spacing w:after="80"/>
        <w:ind w:left="0" w:right="709"/>
        <w:jc w:val="both"/>
      </w:pPr>
      <w:r>
        <w:rPr>
          <w:rFonts w:ascii="Calibri" w:hAnsi="Calibri" w:cs="Arial"/>
          <w:rtl/>
          <w:sz w:val="24"/>
          <w:szCs w:val="24"/>
        </w:rPr>
        <w:t xml:space="preserve">1.2. أزل من الطاولة مواد الطلبات الأخرى. وتأكد من مطابقة الأكياس والشماعات وورق التغليف والملصقات واللواصق للطلب والمقاس واللون.</w:t>
      </w:r>
    </w:p>
    <w:p>
      <w:pPr>
        <w:pStyle w:val="ListeParagraf"/>
        <w:bidi/>
        <w:spacing w:after="80"/>
        <w:ind w:left="0" w:right="709"/>
        <w:jc w:val="both"/>
      </w:pPr>
      <w:r>
        <w:rPr>
          <w:rFonts w:ascii="Calibri" w:hAnsi="Calibri" w:cs="Arial"/>
          <w:rtl/>
          <w:sz w:val="24"/>
          <w:szCs w:val="24"/>
        </w:rPr>
        <w:t xml:space="preserve">1.3. خذ فقط القطع التي اجتازت كاشف المعادن (EMS.QA.TL.02.06) ومعها نموذج الفحص البصري.</w:t>
      </w:r>
    </w:p>
    <w:p>
      <w:pPr>
        <w:pStyle w:val="ListeParagraf"/>
        <w:bidi/>
        <w:spacing w:after="80"/>
        <w:ind w:left="0" w:right="709"/>
        <w:jc w:val="both"/>
      </w:pPr>
      <w:r>
        <w:rPr>
          <w:rFonts w:ascii="Calibri" w:hAnsi="Calibri" w:cs="Arial"/>
          <w:rtl/>
          <w:sz w:val="24"/>
          <w:szCs w:val="24"/>
        </w:rPr>
        <w:t xml:space="preserve">1.4. عبّئ القطعة الأولى واعرضها على مراقب الجودة النهائية. ولا تتابع حتى تُعتمد وتُسجل في نموذج مراقبة التعبئة (EMS.ÜR.FRM.05.07).</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الطي ووضع الأكياس</w:t>
      </w:r>
    </w:p>
    <w:p>
      <w:pPr>
        <w:pStyle w:val="ListeParagraf"/>
        <w:bidi/>
        <w:spacing w:after="80"/>
        <w:ind w:left="0" w:right="709"/>
        <w:jc w:val="both"/>
      </w:pPr>
      <w:r>
        <w:rPr>
          <w:rFonts w:ascii="Calibri" w:hAnsi="Calibri" w:cs="Arial"/>
          <w:rtl/>
          <w:sz w:val="24"/>
          <w:szCs w:val="24"/>
        </w:rPr>
        <w:t xml:space="preserve">2.1. اطوِ القطعة تماماً كما في القطعة الأولى المعتمدة وتعليمات التعبئة، مع ظهور الملصقات وبدون تجاعيد.</w:t>
      </w:r>
    </w:p>
    <w:p>
      <w:pPr>
        <w:pStyle w:val="ListeParagraf"/>
        <w:bidi/>
        <w:spacing w:after="80"/>
        <w:ind w:left="0" w:right="709"/>
        <w:jc w:val="both"/>
      </w:pPr>
      <w:r>
        <w:rPr>
          <w:rFonts w:ascii="Calibri" w:hAnsi="Calibri" w:cs="Arial"/>
          <w:rtl/>
          <w:sz w:val="24"/>
          <w:szCs w:val="24"/>
        </w:rPr>
        <w:t xml:space="preserve">2.2. أضف الشماعة أو داعم الياقة أو ورق التغليف أو المشبك فقط كما هو محدد. ولا تستخدم دبابيس أو دبابيس معدنية.</w:t>
      </w:r>
    </w:p>
    <w:p>
      <w:pPr>
        <w:pStyle w:val="ListeParagraf"/>
        <w:bidi/>
        <w:spacing w:after="80"/>
        <w:ind w:left="0" w:right="709"/>
        <w:jc w:val="both"/>
      </w:pPr>
      <w:r>
        <w:rPr>
          <w:rFonts w:ascii="Calibri" w:hAnsi="Calibri" w:cs="Arial"/>
          <w:rtl/>
          <w:sz w:val="24"/>
          <w:szCs w:val="24"/>
        </w:rPr>
        <w:t xml:space="preserve">2.3. ضع القطعة في كيس البولي المحدد. وتأكد من وجود فتحات التهوية وتحذير الاختناق، ثم أغلق الكيس أو اختمه كما هو محدد.</w:t>
      </w:r>
    </w:p>
    <w:p>
      <w:pPr>
        <w:pStyle w:val="ListeParagraf"/>
        <w:bidi/>
        <w:spacing w:after="80"/>
        <w:ind w:left="0" w:right="709"/>
        <w:jc w:val="both"/>
      </w:pPr>
      <w:r>
        <w:rPr>
          <w:rFonts w:ascii="Calibri" w:hAnsi="Calibri" w:cs="Arial"/>
          <w:rtl/>
          <w:sz w:val="24"/>
          <w:szCs w:val="24"/>
        </w:rPr>
        <w:t xml:space="preserve">2.4. لا تعبئ قطعة متسخة أو تالفة أو مبللة أو سقطت على الأرض؛ ضعها في حاوية إعادة التصحيح وأبلغ المسؤول.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وضع الملصقات</w:t>
      </w:r>
    </w:p>
    <w:p>
      <w:pPr>
        <w:pStyle w:val="ListeParagraf"/>
        <w:bidi/>
        <w:spacing w:after="80"/>
        <w:ind w:left="0" w:right="709"/>
        <w:jc w:val="both"/>
      </w:pPr>
      <w:r>
        <w:rPr>
          <w:rFonts w:ascii="Calibri" w:hAnsi="Calibri" w:cs="Arial"/>
          <w:rtl/>
          <w:sz w:val="24"/>
          <w:szCs w:val="24"/>
        </w:rPr>
        <w:t xml:space="preserve">3.1. ضع كل ملصق ولاصق في الموضع المبين في التعليمات. وتحقق من المقاس واللون والمحتوى مقابل الطلب.</w:t>
      </w:r>
    </w:p>
    <w:p>
      <w:pPr>
        <w:pStyle w:val="ListeParagraf"/>
        <w:bidi/>
        <w:spacing w:after="80"/>
        <w:ind w:left="0" w:right="709"/>
        <w:jc w:val="both"/>
      </w:pPr>
      <w:r>
        <w:rPr>
          <w:rFonts w:ascii="Calibri" w:hAnsi="Calibri" w:cs="Arial"/>
          <w:rtl/>
          <w:sz w:val="24"/>
          <w:szCs w:val="24"/>
        </w:rPr>
        <w:t xml:space="preserve">3.2. لا تلصق ملصقاً فوق ملصق آخر. وتُجمع الملصقات الخاطئة أو الزائدة في صندوق الملصقات وتُسلَّم إلى المسؤول.</w:t>
      </w:r>
    </w:p>
    <w:p>
      <w:pPr>
        <w:pStyle w:val="ListeParagraf"/>
        <w:bidi/>
        <w:spacing w:after="80"/>
        <w:ind w:left="0" w:right="709"/>
        <w:jc w:val="both"/>
      </w:pPr>
      <w:r>
        <w:rPr>
          <w:rFonts w:ascii="Calibri" w:hAnsi="Calibri" w:cs="Arial"/>
          <w:rtl/>
          <w:sz w:val="24"/>
          <w:szCs w:val="24"/>
        </w:rPr>
        <w:t xml:space="preserve">3.3. حافظ على قابلية قراءة الباركود؛ وإذا وجد مراقب الجودة النهائية باركوداً لا يُقرأ أو لا يتطابق فأوقف العمل واستدع المسؤول.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العد والترتيب</w:t>
      </w:r>
    </w:p>
    <w:p>
      <w:pPr>
        <w:pStyle w:val="ListeParagraf"/>
        <w:bidi/>
        <w:spacing w:after="80"/>
        <w:ind w:left="0" w:right="709"/>
        <w:jc w:val="both"/>
      </w:pPr>
      <w:r>
        <w:rPr>
          <w:rFonts w:ascii="Calibri" w:hAnsi="Calibri" w:cs="Arial"/>
          <w:rtl/>
          <w:sz w:val="24"/>
          <w:szCs w:val="24"/>
        </w:rPr>
        <w:t xml:space="preserve">4.1. عدّ القطع في كل عبوة داخلية ورتبها بنسبة التشكيلة في قائمة التعبئة. وراجع العد مرة ثانية.</w:t>
      </w:r>
    </w:p>
    <w:p>
      <w:pPr>
        <w:pStyle w:val="ListeParagraf"/>
        <w:bidi/>
        <w:spacing w:after="80"/>
        <w:ind w:left="0" w:right="709"/>
        <w:jc w:val="both"/>
      </w:pPr>
      <w:r>
        <w:rPr>
          <w:rFonts w:ascii="Calibri" w:hAnsi="Calibri" w:cs="Arial"/>
          <w:rtl/>
          <w:sz w:val="24"/>
          <w:szCs w:val="24"/>
        </w:rPr>
        <w:t xml:space="preserve">4.2. ضع الوحدات المعبأة في الحاوية المعلمة للطلب واللون والمقاس. ولا تخلط الطلبات أو الألوان أو المقاسات أبداً.</w:t>
      </w:r>
    </w:p>
    <w:p>
      <w:pPr>
        <w:pStyle w:val="ListeParagraf"/>
        <w:bidi/>
        <w:spacing w:after="80"/>
        <w:ind w:left="0" w:right="709"/>
        <w:jc w:val="both"/>
      </w:pPr>
      <w:r>
        <w:rPr>
          <w:rFonts w:ascii="Calibri" w:hAnsi="Calibri" w:cs="Arial"/>
          <w:rtl/>
          <w:sz w:val="24"/>
          <w:szCs w:val="24"/>
        </w:rPr>
        <w:t xml:space="preserve">4.3. اكتب الكمية المعبأة بحسب المقاس واللون على نموذج مراقبة التعبئة كل ساعة.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التسليم والمشاكل</w:t>
      </w:r>
    </w:p>
    <w:p>
      <w:pPr>
        <w:pStyle w:val="ListeParagraf"/>
        <w:bidi/>
        <w:spacing w:after="80"/>
        <w:ind w:left="0" w:right="709"/>
        <w:jc w:val="both"/>
      </w:pPr>
      <w:r>
        <w:rPr>
          <w:rFonts w:ascii="Calibri" w:hAnsi="Calibri" w:cs="Arial"/>
          <w:rtl/>
          <w:sz w:val="24"/>
          <w:szCs w:val="24"/>
        </w:rPr>
        <w:t xml:space="preserve">5.1. عند اكتمال الحاوية أبلغ المسؤول؛ ويسلّم المسؤول الوحدات إلى ترقيم الدفعات (EMS.ÜR.TL.05.14) مع النموذج. ولا تضع الوحدات في الكراتين قبل ترقيم دفعتها.</w:t>
      </w:r>
    </w:p>
    <w:p>
      <w:pPr>
        <w:pStyle w:val="ListeParagraf"/>
        <w:bidi/>
        <w:spacing w:after="80"/>
        <w:ind w:left="0" w:right="709"/>
        <w:jc w:val="both"/>
      </w:pPr>
      <w:r>
        <w:rPr>
          <w:rFonts w:ascii="Calibri" w:hAnsi="Calibri" w:cs="Arial"/>
          <w:rtl/>
          <w:sz w:val="24"/>
          <w:szCs w:val="24"/>
        </w:rPr>
        <w:t xml:space="preserve">5.2. عند وجود ملصق خاطئ أو عد خاطئ أو كيس ممزق أو أي شك أوقف الخط واستدع المسؤول. ويبلغ المسؤول ضمان الجودة الذي يفتح تقرير عدم مطابقة (EMS.QA.PRO.02.06) عند اللزوم.</w:t>
      </w:r>
    </w:p>
    <w:p>
      <w:pPr>
        <w:pStyle w:val="ListeParagraf"/>
        <w:bidi/>
        <w:spacing w:after="80"/>
        <w:ind w:left="0" w:right="709"/>
        <w:jc w:val="both"/>
      </w:pPr>
      <w:r>
        <w:rPr>
          <w:rFonts w:ascii="Calibri" w:hAnsi="Calibri" w:cs="Arial"/>
          <w:rtl/>
          <w:sz w:val="24"/>
          <w:szCs w:val="24"/>
        </w:rPr>
        <w:t xml:space="preserve">5.3. حافظ على الأرض خالية وأبقِ القواطع في حاملاتها وارمِ نفايات التعبئة في الحاوية الصحيحة واستخدم السجادة المضادة للتعب. وأبعد أكياس البولي عن الوجه وعن الأطفال.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EMS.ÜR.PRO.05.11. إجراء التعبئة ووضع الملصقات</w:t>
      </w:r>
    </w:p>
    <w:p>
      <w:pPr>
        <w:pStyle w:val="ListeParagraf"/>
        <w:numPr>
          <w:ilvl w:val="0"/>
          <w:numId w:val="1"/>
        </w:numPr>
        <w:bidi/>
        <w:spacing w:after="60"/>
        <w:jc w:val="both"/>
      </w:pPr>
      <w:r>
        <w:rPr>
          <w:rFonts w:ascii="Calibri" w:hAnsi="Calibri" w:cs="Arial"/>
          <w:rtl/>
          <w:sz w:val="24"/>
          <w:szCs w:val="24"/>
        </w:rPr>
        <w:t xml:space="preserve">EMS.ÜR.TL.05.06. تعليمات الكي والتعبئة؛ EMS.QA.TL.02.06. تعليمات اختبار كاشف المعادن وتسجيل النتائج؛ EMS.ÜR.TL.05.14. تعليمات ترقيم دفعات المنتج النهائي ووضع ملصقاتها</w:t>
      </w:r>
    </w:p>
    <w:p>
      <w:pPr>
        <w:pStyle w:val="ListeParagraf"/>
        <w:numPr>
          <w:ilvl w:val="0"/>
          <w:numId w:val="1"/>
        </w:numPr>
        <w:bidi/>
        <w:spacing w:after="60"/>
        <w:jc w:val="both"/>
      </w:pPr>
      <w:r>
        <w:rPr>
          <w:rFonts w:ascii="Calibri" w:hAnsi="Calibri" w:cs="Arial"/>
          <w:rtl/>
          <w:sz w:val="24"/>
          <w:szCs w:val="24"/>
        </w:rPr>
        <w:t xml:space="preserve">EMS.DP.TL.08.04. تعليمات وسم الكراتين ووضع الملصقات وقائمة التعبئة</w:t>
      </w:r>
    </w:p>
    <w:p>
      <w:pPr>
        <w:pStyle w:val="ListeParagraf"/>
        <w:numPr>
          <w:ilvl w:val="0"/>
          <w:numId w:val="1"/>
        </w:numPr>
        <w:bidi/>
        <w:spacing w:after="60"/>
        <w:jc w:val="both"/>
      </w:pPr>
      <w:r>
        <w:rPr>
          <w:rFonts w:ascii="Calibri" w:hAnsi="Calibri" w:cs="Arial"/>
          <w:rtl/>
          <w:sz w:val="24"/>
          <w:szCs w:val="24"/>
        </w:rPr>
        <w:t xml:space="preserve">EMS.QA.PRO.02.06. إجراء تقرير عدم المطابقة (NCR)</w:t>
      </w:r>
    </w:p>
    <w:p>
      <w:pPr>
        <w:pStyle w:val="ListeParagraf"/>
        <w:numPr>
          <w:ilvl w:val="0"/>
          <w:numId w:val="1"/>
        </w:numPr>
        <w:bidi/>
        <w:spacing w:after="60"/>
        <w:jc w:val="both"/>
      </w:pPr>
      <w:r>
        <w:rPr>
          <w:rFonts w:ascii="Calibri" w:hAnsi="Calibri" w:cs="Arial"/>
          <w:rtl/>
          <w:sz w:val="24"/>
          <w:szCs w:val="24"/>
        </w:rPr>
        <w:t xml:space="preserve">EMS.ÜR.FRM.05.07 نموذج مراقبة التعبئة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يراجع المسؤول نموذج مراقبة التعبئة في كل وردية ويبلغ مدير الإنتاج بأخطاء الملصقات أو العد. ويمكن للعمال اقتراح التحسينات على المسؤول. تُراجع هذه التعليمات سنوياً أو عند تغير الإجراء أو تعليمات التعبئة أو متطلبات العميل.</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Final ve Paketleme Sorumlusu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FOLDING, POLYBAG AND PACKING INSTRUCTION</w:t>
          </w:r>
        </w:p>
        <w:p>
          <w:pPr>
            <w:pStyle w:val="GvdeMetni2"/>
            <w:bidi/>
            <w:spacing w:line="276" w:lineRule="auto"/>
            <w:jc w:val="center"/>
          </w:pPr>
          <w:r>
            <w:rPr>
              <w:rFonts w:asciiTheme="minorHAnsi" w:hAnsiTheme="minorHAnsi" w:cs="Arial"/>
              <w:b/>
              <w:bCs/>
              <w:color w:val="000000" w:themeColor="text1"/>
              <w:sz w:val="22"/>
              <w:szCs w:val="22"/>
              <w:rtl/>
            </w:rPr>
            <w:t>تعليمات الطي والتغليف بالأكياس والتعبئة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EMS.ÜR.TL.05.13.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EMS.ÜR.TL.05.13. FOLDING, POLYBAG AND PACKING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