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incoming materials are received, checked, identified, quarantined, released, stored, issued to production and counted at Eroglu Knitting (EMS), so that stock records are accurate, materials are protected and full traceability is maintained (ISO 9001:2015, clauses 8.5.2 and 8.5.4).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incoming materials at the EMS facility: yarn, fabric, trims, accessories, packaging materials, dyes and chemicals, spare parts and consumables, including materials returned from subcontractors, from receipt at the gate to issue to production and stock counting.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and Logistics Manager:</w:t>
      </w:r>
      <w:r>
        <w:rPr>
          <w:rFonts w:ascii="Calibri" w:hAnsi="Calibri" w:cs="Arial"/>
          <w:sz w:val="24"/>
          <w:szCs w:val="24"/>
        </w:rPr>
        <w:t xml:space="preserve"> Ensures that the procedure is applied, approves stock adjustments and organises stock counts.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Staff:</w:t>
      </w:r>
      <w:r>
        <w:rPr>
          <w:rFonts w:ascii="Calibri" w:hAnsi="Calibri" w:cs="Arial"/>
          <w:sz w:val="24"/>
          <w:szCs w:val="24"/>
        </w:rPr>
        <w:t xml:space="preserve"> Receive, check, label, store and issue materials and update the stock system.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Carries out incoming inspection and releases or rejects materials.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w:t>
      </w:r>
      <w:r>
        <w:rPr>
          <w:rFonts w:ascii="Calibri" w:hAnsi="Calibri" w:cs="Arial"/>
          <w:sz w:val="24"/>
          <w:szCs w:val="24"/>
        </w:rPr>
        <w:t xml:space="preserve"> Carries out the required tests on incoming materials and reports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Department:</w:t>
      </w:r>
      <w:r>
        <w:rPr>
          <w:rFonts w:ascii="Calibri" w:hAnsi="Calibri" w:cs="Arial"/>
          <w:sz w:val="24"/>
          <w:szCs w:val="24"/>
        </w:rPr>
        <w:t xml:space="preserve"> Provides purchase order information and handles nonconformities, returns and replacements with suppliers.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Store Keeper:</w:t>
      </w:r>
      <w:r>
        <w:rPr>
          <w:rFonts w:ascii="Calibri" w:hAnsi="Calibri" w:cs="Arial"/>
          <w:sz w:val="24"/>
          <w:szCs w:val="24"/>
        </w:rPr>
        <w:t xml:space="preserve"> Receives and stores chemicals according to SDS and the chemical storage rules.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w:t>
      </w:r>
      <w:r>
        <w:rPr>
          <w:rFonts w:ascii="Calibri" w:hAnsi="Calibri" w:cs="Arial"/>
          <w:sz w:val="24"/>
          <w:szCs w:val="24"/>
        </w:rPr>
        <w:t xml:space="preserve"> Checks delivery documents and seals at the gate.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Goods Receipt Note (GRN):</w:t>
      </w:r>
      <w:r>
        <w:rPr>
          <w:rFonts w:ascii="Calibri" w:hAnsi="Calibri" w:cs="Arial"/>
          <w:sz w:val="24"/>
          <w:szCs w:val="24"/>
        </w:rPr>
        <w:t xml:space="preserve"> The record that confirms the quantity and condition of materials received against the purchase order.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Material Status Label:</w:t>
      </w:r>
      <w:r>
        <w:rPr>
          <w:rFonts w:ascii="Calibri" w:hAnsi="Calibri" w:cs="Arial"/>
          <w:sz w:val="24"/>
          <w:szCs w:val="24"/>
        </w:rPr>
        <w:t xml:space="preserve"> The label showing the inspection status of a material: Waiting for Inspection (Quarantine), Approved or Rejected.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Minimum Stock Level:</w:t>
      </w:r>
      <w:r>
        <w:rPr>
          <w:rFonts w:ascii="Calibri" w:hAnsi="Calibri" w:cs="Arial"/>
          <w:sz w:val="24"/>
          <w:szCs w:val="24"/>
        </w:rPr>
        <w:t xml:space="preserve"> The quantity at which a new purchase request must be opened.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FIFO:</w:t>
      </w:r>
      <w:r>
        <w:rPr>
          <w:rFonts w:ascii="Calibri" w:hAnsi="Calibri" w:cs="Arial"/>
          <w:sz w:val="24"/>
          <w:szCs w:val="24"/>
        </w:rPr>
        <w:t xml:space="preserve"> First in, first out; the oldest approved lot is issued first.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Quarantine Area:</w:t>
      </w:r>
      <w:r>
        <w:rPr>
          <w:rFonts w:ascii="Calibri" w:hAnsi="Calibri" w:cs="Arial"/>
          <w:sz w:val="24"/>
          <w:szCs w:val="24"/>
        </w:rPr>
        <w:t xml:space="preserve"> The marked area where materials waiting for inspection or rejected are kept separately from approved stock.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Stock Accuracy:</w:t>
      </w:r>
      <w:r>
        <w:rPr>
          <w:rFonts w:ascii="Calibri" w:hAnsi="Calibri" w:cs="Arial"/>
          <w:sz w:val="24"/>
          <w:szCs w:val="24"/>
        </w:rPr>
        <w:t xml:space="preserve"> The percentage agreement between the physical count and the stock system.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RECEIVING</w:t>
      </w:r>
    </w:p>
    <w:p>
      <w:pPr>
        <w:pStyle w:val="ListeParagraf"/>
        <w:spacing w:after="80"/>
        <w:ind w:left="709" w:right="0"/>
        <w:jc w:val="both"/>
      </w:pPr>
      <w:r>
        <w:rPr>
          <w:rFonts w:ascii="Calibri" w:hAnsi="Calibri" w:cs="Arial"/>
          <w:sz w:val="24"/>
          <w:szCs w:val="24"/>
        </w:rPr>
        <w:t xml:space="preserve">1.1. Incoming vehicles enter the site according to EMS.İD.PRO.03.02.; security checks the delivery documents and seals before unloading. Vehicles are checked for damage, cleanliness and odour; for chemicals, the suitability of the vehicle and the labels are verified (TLM-DEP-01).</w:t>
      </w:r>
    </w:p>
    <w:p>
      <w:pPr>
        <w:pStyle w:val="ListeParagraf"/>
        <w:spacing w:after="80"/>
        <w:ind w:left="709" w:right="0"/>
        <w:jc w:val="both"/>
      </w:pPr>
      <w:r>
        <w:rPr>
          <w:rFonts w:ascii="Calibri" w:hAnsi="Calibri" w:cs="Arial"/>
          <w:sz w:val="24"/>
          <w:szCs w:val="24"/>
        </w:rPr>
        <w:t xml:space="preserve">1.2. Warehouse staff check the delivery against the purchase order and delivery note:</w:t>
      </w:r>
    </w:p>
    <w:p>
      <w:pPr>
        <w:pStyle w:val="ListeParagraf"/>
        <w:numPr>
          <w:ilvl w:val="0"/>
          <w:numId w:val="1"/>
        </w:numPr>
        <w:spacing w:after="60"/>
        <w:jc w:val="both"/>
      </w:pPr>
      <w:r>
        <w:rPr>
          <w:rFonts w:ascii="Calibri" w:hAnsi="Calibri" w:cs="Arial"/>
          <w:sz w:val="24"/>
          <w:szCs w:val="24"/>
        </w:rPr>
        <w:t xml:space="preserve">Supplier name, item, colour, lot and quantity,</w:t>
      </w:r>
    </w:p>
    <w:p>
      <w:pPr>
        <w:pStyle w:val="ListeParagraf"/>
        <w:numPr>
          <w:ilvl w:val="0"/>
          <w:numId w:val="1"/>
        </w:numPr>
        <w:spacing w:after="60"/>
        <w:jc w:val="both"/>
      </w:pPr>
      <w:r>
        <w:rPr>
          <w:rFonts w:ascii="Calibri" w:hAnsi="Calibri" w:cs="Arial"/>
          <w:sz w:val="24"/>
          <w:szCs w:val="24"/>
        </w:rPr>
        <w:t xml:space="preserve">Packaging condition, damage, moisture or contamination,</w:t>
      </w:r>
    </w:p>
    <w:p>
      <w:pPr>
        <w:pStyle w:val="ListeParagraf"/>
        <w:numPr>
          <w:ilvl w:val="0"/>
          <w:numId w:val="1"/>
        </w:numPr>
        <w:spacing w:after="60"/>
        <w:jc w:val="both"/>
      </w:pPr>
      <w:r>
        <w:rPr>
          <w:rFonts w:ascii="Calibri" w:hAnsi="Calibri" w:cs="Arial"/>
          <w:sz w:val="24"/>
          <w:szCs w:val="24"/>
        </w:rPr>
        <w:t xml:space="preserve">Required documents: certificate of analysis, SDS for chemicals, transaction certificate for certified materials.</w:t>
      </w:r>
    </w:p>
    <w:p>
      <w:pPr>
        <w:pStyle w:val="ListeParagraf"/>
        <w:spacing w:after="80"/>
        <w:ind w:left="709" w:right="0"/>
        <w:jc w:val="both"/>
      </w:pPr>
      <w:r>
        <w:rPr>
          <w:rFonts w:ascii="Calibri" w:hAnsi="Calibri" w:cs="Arial"/>
          <w:sz w:val="24"/>
          <w:szCs w:val="24"/>
        </w:rPr>
        <w:t xml:space="preserve">1.3. Differences or damage are recorded on the delivery note and reported to the Purchasing Department the same day.</w:t>
      </w:r>
    </w:p>
    <w:p>
      <w:pPr>
        <w:pStyle w:val="ListeParagraf"/>
        <w:spacing w:after="80"/>
        <w:ind w:left="709" w:right="0"/>
        <w:jc w:val="both"/>
      </w:pPr>
      <w:r>
        <w:rPr>
          <w:rFonts w:ascii="Calibri" w:hAnsi="Calibri" w:cs="Arial"/>
          <w:sz w:val="24"/>
          <w:szCs w:val="24"/>
        </w:rPr>
        <w:t xml:space="preserve">1.4. A Goods Receipt Note is issued and recorded on the Goods Receiving Record (FRM-DEP-01); the materials are labelled “Waiting for Inspection” and placed in the receiving or quarantine area.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INCOMING INSPECTION AND RELEASE</w:t>
      </w:r>
    </w:p>
    <w:p>
      <w:pPr>
        <w:pStyle w:val="ListeParagraf"/>
        <w:spacing w:after="80"/>
        <w:ind w:left="709" w:right="0"/>
        <w:jc w:val="both"/>
      </w:pPr>
      <w:r>
        <w:rPr>
          <w:rFonts w:ascii="Calibri" w:hAnsi="Calibri" w:cs="Arial"/>
          <w:sz w:val="24"/>
          <w:szCs w:val="24"/>
        </w:rPr>
        <w:t xml:space="preserve">2.1. Quality Assurance inspects the materials according to EMS.QA.PRO.02.09 and the inspection plan (sampling by AQL / ISO 2859-1 or the customer specification); the Fabric Receiving Form (EMS.WH.FRM.01.01) is completed for fabric rolls (TLM-DEP-02). Laboratory tests are carried out where required.</w:t>
      </w:r>
    </w:p>
    <w:p>
      <w:pPr>
        <w:pStyle w:val="ListeParagraf"/>
        <w:spacing w:after="80"/>
        <w:ind w:left="709" w:right="0"/>
        <w:jc w:val="both"/>
      </w:pPr>
      <w:r>
        <w:rPr>
          <w:rFonts w:ascii="Calibri" w:hAnsi="Calibri" w:cs="Arial"/>
          <w:sz w:val="24"/>
          <w:szCs w:val="24"/>
        </w:rPr>
        <w:t xml:space="preserve">2.2. For chemicals, packaging integrity, label and the presence of SDS are checked.</w:t>
      </w:r>
    </w:p>
    <w:p>
      <w:pPr>
        <w:pStyle w:val="ListeParagraf"/>
        <w:spacing w:after="80"/>
        <w:ind w:left="709" w:right="0"/>
        <w:jc w:val="both"/>
      </w:pPr>
      <w:r>
        <w:rPr>
          <w:rFonts w:ascii="Calibri" w:hAnsi="Calibri" w:cs="Arial"/>
          <w:sz w:val="24"/>
          <w:szCs w:val="24"/>
        </w:rPr>
        <w:t xml:space="preserve">2.3. Approved materials are labelled “Approved” and moved to their stock location; rejected materials are labelled “Rejected” and kept in the quarantine area until returned to the supplier (TLM-DEP-03).</w:t>
      </w:r>
    </w:p>
    <w:p>
      <w:pPr>
        <w:pStyle w:val="ListeParagraf"/>
        <w:spacing w:after="80"/>
        <w:ind w:left="709" w:right="0"/>
        <w:jc w:val="both"/>
      </w:pPr>
      <w:r>
        <w:rPr>
          <w:rFonts w:ascii="Calibri" w:hAnsi="Calibri" w:cs="Arial"/>
          <w:sz w:val="24"/>
          <w:szCs w:val="24"/>
        </w:rPr>
        <w:t xml:space="preserve">2.4. For rejected materials the Non-conforming Material Notice (FRM-DEP-02) is opened; Purchasing handles the return or replacement.</w:t>
      </w:r>
    </w:p>
    <w:p>
      <w:pPr>
        <w:pStyle w:val="ListeParagraf"/>
        <w:spacing w:after="80"/>
        <w:ind w:left="709" w:right="0"/>
        <w:jc w:val="both"/>
      </w:pPr>
      <w:r>
        <w:rPr>
          <w:rFonts w:ascii="Calibri" w:hAnsi="Calibri" w:cs="Arial"/>
          <w:sz w:val="24"/>
          <w:szCs w:val="24"/>
        </w:rPr>
        <w:t xml:space="preserve">2.5. Certified materials (GRS, RCS, OCS) are kept physically segregated and identified according to EMS.GR.PRO.14.01.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STORAGE</w:t>
      </w:r>
    </w:p>
    <w:p>
      <w:pPr>
        <w:pStyle w:val="ListeParagraf"/>
        <w:spacing w:after="80"/>
        <w:ind w:left="709" w:right="0"/>
        <w:jc w:val="both"/>
      </w:pPr>
      <w:r>
        <w:rPr>
          <w:rFonts w:ascii="Calibri" w:hAnsi="Calibri" w:cs="Arial"/>
          <w:sz w:val="24"/>
          <w:szCs w:val="24"/>
        </w:rPr>
        <w:t xml:space="preserve">3.1. Each material is stored at a defined stock location according to the storage layout and recorded in the stock system with order, lot and location (TLM-DEP-04).</w:t>
      </w:r>
    </w:p>
    <w:p>
      <w:pPr>
        <w:pStyle w:val="ListeParagraf"/>
        <w:spacing w:after="80"/>
        <w:ind w:left="709" w:right="0"/>
        <w:jc w:val="both"/>
      </w:pPr>
      <w:r>
        <w:rPr>
          <w:rFonts w:ascii="Calibri" w:hAnsi="Calibri" w:cs="Arial"/>
          <w:sz w:val="24"/>
          <w:szCs w:val="24"/>
        </w:rPr>
        <w:t xml:space="preserve">3.2. Materials are stored on pallets or racks, off the floor and away from walls, protected from sunlight, moisture and dust; stacking heights and rack load limits are respected; temperature and humidity conditions are monitored where the material requires.</w:t>
      </w:r>
    </w:p>
    <w:p>
      <w:pPr>
        <w:pStyle w:val="ListeParagraf"/>
        <w:spacing w:after="80"/>
        <w:ind w:left="709" w:right="0"/>
        <w:jc w:val="both"/>
      </w:pPr>
      <w:r>
        <w:rPr>
          <w:rFonts w:ascii="Calibri" w:hAnsi="Calibri" w:cs="Arial"/>
          <w:sz w:val="24"/>
          <w:szCs w:val="24"/>
        </w:rPr>
        <w:t xml:space="preserve">3.3. Chemicals are stored only in the chemical store according to SDS, with secondary containment, compatibility segregation and spill kits.</w:t>
      </w:r>
    </w:p>
    <w:p>
      <w:pPr>
        <w:pStyle w:val="ListeParagraf"/>
        <w:spacing w:after="80"/>
        <w:ind w:left="709" w:right="0"/>
        <w:jc w:val="both"/>
      </w:pPr>
      <w:r>
        <w:rPr>
          <w:rFonts w:ascii="Calibri" w:hAnsi="Calibri" w:cs="Arial"/>
          <w:sz w:val="24"/>
          <w:szCs w:val="24"/>
        </w:rPr>
        <w:t xml:space="preserve">3.4. Walkways, fire equipment, electrical panels and emergency exits are kept clear at all times; smoking and open flames are prohibited.</w:t>
      </w:r>
    </w:p>
    <w:p>
      <w:pPr>
        <w:pStyle w:val="ListeParagraf"/>
        <w:spacing w:after="80"/>
        <w:ind w:left="709" w:right="0"/>
        <w:jc w:val="both"/>
      </w:pPr>
      <w:r>
        <w:rPr>
          <w:rFonts w:ascii="Calibri" w:hAnsi="Calibri" w:cs="Arial"/>
          <w:sz w:val="24"/>
          <w:szCs w:val="24"/>
        </w:rPr>
        <w:t xml:space="preserve">3.5. FIFO is applied; materials with expiry dates (chemicals, adhesives) are checked monthly and expired materials are separated and treated as nonconforming.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ISSUE TO PRODUCTION</w:t>
      </w:r>
    </w:p>
    <w:p>
      <w:pPr>
        <w:pStyle w:val="ListeParagraf"/>
        <w:spacing w:after="80"/>
        <w:ind w:left="709" w:right="0"/>
        <w:jc w:val="both"/>
      </w:pPr>
      <w:r>
        <w:rPr>
          <w:rFonts w:ascii="Calibri" w:hAnsi="Calibri" w:cs="Arial"/>
          <w:sz w:val="24"/>
          <w:szCs w:val="24"/>
        </w:rPr>
        <w:t xml:space="preserve">4.1. Materials are issued only against an approved material request or production order and only if they carry the “Approved” label.</w:t>
      </w:r>
    </w:p>
    <w:p>
      <w:pPr>
        <w:pStyle w:val="ListeParagraf"/>
        <w:spacing w:after="80"/>
        <w:ind w:left="709" w:right="0"/>
        <w:jc w:val="both"/>
      </w:pPr>
      <w:r>
        <w:rPr>
          <w:rFonts w:ascii="Calibri" w:hAnsi="Calibri" w:cs="Arial"/>
          <w:sz w:val="24"/>
          <w:szCs w:val="24"/>
        </w:rPr>
        <w:t xml:space="preserve">4.2. Issued quantities are recorded in the stock system with the order number and lot; unused materials returned from production are checked, recorded and returned to stock.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STOCK COUNTS</w:t>
      </w:r>
    </w:p>
    <w:p>
      <w:pPr>
        <w:pStyle w:val="ListeParagraf"/>
        <w:spacing w:after="80"/>
        <w:ind w:left="709" w:right="0"/>
        <w:jc w:val="both"/>
      </w:pPr>
      <w:r>
        <w:rPr>
          <w:rFonts w:ascii="Calibri" w:hAnsi="Calibri" w:cs="Arial"/>
          <w:sz w:val="24"/>
          <w:szCs w:val="24"/>
        </w:rPr>
        <w:t xml:space="preserve">5.1. A full stock count is made at least once a year, and cycle counts of critical materials are made monthly; count results are recorded on the Stock Count Form (FRM-DEP-03).</w:t>
      </w:r>
    </w:p>
    <w:p>
      <w:pPr>
        <w:pStyle w:val="ListeParagraf"/>
        <w:spacing w:after="80"/>
        <w:ind w:left="709" w:right="0"/>
        <w:jc w:val="both"/>
      </w:pPr>
      <w:r>
        <w:rPr>
          <w:rFonts w:ascii="Calibri" w:hAnsi="Calibri" w:cs="Arial"/>
          <w:sz w:val="24"/>
          <w:szCs w:val="24"/>
        </w:rPr>
        <w:t xml:space="preserve">5.2. Differences are investigated, and stock adjustments are approved by the Warehouse and Logistics Manager.</w:t>
      </w:r>
    </w:p>
    <w:p>
      <w:pPr>
        <w:pStyle w:val="ListeParagraf"/>
        <w:spacing w:after="80"/>
        <w:ind w:left="709" w:right="0"/>
        <w:jc w:val="both"/>
      </w:pPr>
      <w:r>
        <w:rPr>
          <w:rFonts w:ascii="Calibri" w:hAnsi="Calibri" w:cs="Arial"/>
          <w:sz w:val="24"/>
          <w:szCs w:val="24"/>
        </w:rPr>
        <w:t xml:space="preserve">5.3. Stock count differences above the allowed limit (example: 1%) are treated as nonconformities.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 AND CORRECTIVE ACTION</w:t>
      </w:r>
    </w:p>
    <w:p>
      <w:pPr>
        <w:pStyle w:val="ListeParagraf"/>
        <w:spacing w:after="80"/>
        <w:ind w:left="709" w:right="0"/>
        <w:jc w:val="both"/>
      </w:pPr>
      <w:r>
        <w:rPr>
          <w:rFonts w:ascii="Calibri" w:hAnsi="Calibri" w:cs="Arial"/>
          <w:sz w:val="24"/>
          <w:szCs w:val="24"/>
        </w:rPr>
        <w:t xml:space="preserve">6.1. The following are nonconformities: nonconforming or damaged material, delivery note difference, use of unlabelled material, material issued without inspection, or a stock count difference above the limit.</w:t>
      </w:r>
    </w:p>
    <w:p>
      <w:pPr>
        <w:pStyle w:val="ListeParagraf"/>
        <w:spacing w:after="80"/>
        <w:ind w:left="709" w:right="0"/>
        <w:jc w:val="both"/>
      </w:pPr>
      <w:r>
        <w:rPr>
          <w:rFonts w:ascii="Calibri" w:hAnsi="Calibri" w:cs="Arial"/>
          <w:sz w:val="24"/>
          <w:szCs w:val="24"/>
        </w:rPr>
        <w:t xml:space="preserve">6.2. Immediate action: the material is put into quarantine, and Quality Assurance, Purchasing and the Warehouse Manager are informed the same day.</w:t>
      </w:r>
    </w:p>
    <w:p>
      <w:pPr>
        <w:pStyle w:val="ListeParagraf"/>
        <w:spacing w:after="80"/>
        <w:ind w:left="709" w:right="0"/>
        <w:jc w:val="both"/>
      </w:pPr>
      <w:r>
        <w:rPr>
          <w:rFonts w:ascii="Calibri" w:hAnsi="Calibri" w:cs="Arial"/>
          <w:sz w:val="24"/>
          <w:szCs w:val="24"/>
        </w:rPr>
        <w:t xml:space="preserve">6.3. If the cause is the supplier, an 8D report is requested through Purchasing; if the cause is internal, the process cause is analysed and a corrective action (DOP/CAPA) is assigned according to EMS.KS.PRO.22.03.</w:t>
      </w:r>
    </w:p>
    <w:p>
      <w:pPr>
        <w:pStyle w:val="ListeParagraf"/>
        <w:spacing w:after="80"/>
        <w:ind w:left="709" w:right="0"/>
        <w:jc w:val="both"/>
      </w:pPr>
      <w:r>
        <w:rPr>
          <w:rFonts w:ascii="Calibri" w:hAnsi="Calibri" w:cs="Arial"/>
          <w:sz w:val="24"/>
          <w:szCs w:val="24"/>
        </w:rPr>
        <w:t xml:space="preserve">6.4. The case is closed after it is verified on following deliveries that the same nonconformity does not repeat; the evidence is added to the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MONITORING AND PERFORMANCE</w:t>
      </w:r>
    </w:p>
    <w:p>
      <w:pPr>
        <w:pStyle w:val="ListeParagraf"/>
        <w:spacing w:after="80"/>
        <w:ind w:left="709" w:right="0"/>
        <w:jc w:val="both"/>
      </w:pPr>
      <w:r>
        <w:rPr>
          <w:rFonts w:ascii="Calibri" w:hAnsi="Calibri" w:cs="Arial"/>
          <w:sz w:val="24"/>
          <w:szCs w:val="24"/>
        </w:rPr>
        <w:t xml:space="preserve">7.1. The following indicators are monitored every month:</w:t>
      </w:r>
    </w:p>
    <w:p>
      <w:pPr>
        <w:pStyle w:val="ListeParagraf"/>
        <w:numPr>
          <w:ilvl w:val="0"/>
          <w:numId w:val="1"/>
        </w:numPr>
        <w:spacing w:after="60"/>
        <w:jc w:val="both"/>
      </w:pPr>
      <w:r>
        <w:rPr>
          <w:rFonts w:ascii="Calibri" w:hAnsi="Calibri" w:cs="Arial"/>
          <w:sz w:val="24"/>
          <w:szCs w:val="24"/>
        </w:rPr>
        <w:t xml:space="preserve">Stock accuracy rate (example target: at least 99%) and stock count difference (example limit: not more than 1%),</w:t>
      </w:r>
    </w:p>
    <w:p>
      <w:pPr>
        <w:pStyle w:val="ListeParagraf"/>
        <w:numPr>
          <w:ilvl w:val="0"/>
          <w:numId w:val="1"/>
        </w:numPr>
        <w:spacing w:after="60"/>
        <w:jc w:val="both"/>
      </w:pPr>
      <w:r>
        <w:rPr>
          <w:rFonts w:ascii="Calibri" w:hAnsi="Calibri" w:cs="Arial"/>
          <w:sz w:val="24"/>
          <w:szCs w:val="24"/>
        </w:rPr>
        <w:t xml:space="preserve">Lots stored or issued without inspection (target: 0),</w:t>
      </w:r>
    </w:p>
    <w:p>
      <w:pPr>
        <w:pStyle w:val="ListeParagraf"/>
        <w:numPr>
          <w:ilvl w:val="0"/>
          <w:numId w:val="1"/>
        </w:numPr>
        <w:spacing w:after="60"/>
        <w:jc w:val="both"/>
      </w:pPr>
      <w:r>
        <w:rPr>
          <w:rFonts w:ascii="Calibri" w:hAnsi="Calibri" w:cs="Arial"/>
          <w:sz w:val="24"/>
          <w:szCs w:val="24"/>
        </w:rPr>
        <w:t xml:space="preserve">Percentage of deliveries with a complete receiving record (target: 100%),</w:t>
      </w:r>
    </w:p>
    <w:p>
      <w:pPr>
        <w:pStyle w:val="ListeParagraf"/>
        <w:numPr>
          <w:ilvl w:val="0"/>
          <w:numId w:val="1"/>
        </w:numPr>
        <w:spacing w:after="60"/>
        <w:jc w:val="both"/>
      </w:pPr>
      <w:r>
        <w:rPr>
          <w:rFonts w:ascii="Calibri" w:hAnsi="Calibri" w:cs="Arial"/>
          <w:sz w:val="24"/>
          <w:szCs w:val="24"/>
        </w:rPr>
        <w:t xml:space="preserve">Number of materials damaged or lost in storage,</w:t>
      </w:r>
    </w:p>
    <w:p>
      <w:pPr>
        <w:pStyle w:val="ListeParagraf"/>
        <w:numPr>
          <w:ilvl w:val="0"/>
          <w:numId w:val="1"/>
        </w:numPr>
        <w:spacing w:after="60"/>
        <w:jc w:val="both"/>
      </w:pPr>
      <w:r>
        <w:rPr>
          <w:rFonts w:ascii="Calibri" w:hAnsi="Calibri" w:cs="Arial"/>
          <w:sz w:val="24"/>
          <w:szCs w:val="24"/>
        </w:rPr>
        <w:t xml:space="preserve">Slow-moving and obsolete stock value.</w:t>
      </w:r>
    </w:p>
    <w:p>
      <w:pPr>
        <w:pStyle w:val="ListeParagraf"/>
        <w:spacing w:after="80"/>
        <w:ind w:left="709" w:right="0"/>
        <w:jc w:val="both"/>
      </w:pPr>
      <w:r>
        <w:rPr>
          <w:rFonts w:ascii="Calibri" w:hAnsi="Calibri" w:cs="Arial"/>
          <w:sz w:val="24"/>
          <w:szCs w:val="24"/>
        </w:rPr>
        <w:t xml:space="preserve">7.2. Targets are defined in the company policy and the customer specification and are updated when necessary.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Goods Receipt Notes and Delivery Notes; Goods Receiving Record (FRM-DEP-01)</w:t>
      </w:r>
    </w:p>
    <w:p>
      <w:pPr>
        <w:pStyle w:val="ListeParagraf"/>
        <w:numPr>
          <w:ilvl w:val="0"/>
          <w:numId w:val="1"/>
        </w:numPr>
        <w:spacing w:after="60"/>
        <w:jc w:val="both"/>
      </w:pPr>
      <w:r>
        <w:rPr>
          <w:rFonts w:ascii="Calibri" w:hAnsi="Calibri" w:cs="Arial"/>
          <w:sz w:val="24"/>
          <w:szCs w:val="24"/>
        </w:rPr>
        <w:t xml:space="preserve">EMS.WH.FRM.01.01. Fabric Receiving Form</w:t>
      </w:r>
    </w:p>
    <w:p>
      <w:pPr>
        <w:pStyle w:val="ListeParagraf"/>
        <w:numPr>
          <w:ilvl w:val="0"/>
          <w:numId w:val="1"/>
        </w:numPr>
        <w:spacing w:after="60"/>
        <w:jc w:val="both"/>
      </w:pPr>
      <w:r>
        <w:rPr>
          <w:rFonts w:ascii="Calibri" w:hAnsi="Calibri" w:cs="Arial"/>
          <w:sz w:val="24"/>
          <w:szCs w:val="24"/>
        </w:rPr>
        <w:t xml:space="preserve">Non-conforming Material Notice (FRM-DEP-02)</w:t>
      </w:r>
    </w:p>
    <w:p>
      <w:pPr>
        <w:pStyle w:val="ListeParagraf"/>
        <w:numPr>
          <w:ilvl w:val="0"/>
          <w:numId w:val="1"/>
        </w:numPr>
        <w:spacing w:after="60"/>
        <w:jc w:val="both"/>
      </w:pPr>
      <w:r>
        <w:rPr>
          <w:rFonts w:ascii="Calibri" w:hAnsi="Calibri" w:cs="Arial"/>
          <w:sz w:val="24"/>
          <w:szCs w:val="24"/>
        </w:rPr>
        <w:t xml:space="preserve">Stock Count Form (FRM-DEP-03) and Stock Count Records</w:t>
      </w:r>
    </w:p>
    <w:p>
      <w:pPr>
        <w:pStyle w:val="ListeParagraf"/>
        <w:numPr>
          <w:ilvl w:val="0"/>
          <w:numId w:val="1"/>
        </w:numPr>
        <w:spacing w:after="60"/>
        <w:jc w:val="both"/>
      </w:pPr>
      <w:r>
        <w:rPr>
          <w:rFonts w:ascii="Calibri" w:hAnsi="Calibri" w:cs="Arial"/>
          <w:sz w:val="24"/>
          <w:szCs w:val="24"/>
        </w:rPr>
        <w:t xml:space="preserve">Material Status Labels and Stock Records</w:t>
      </w:r>
    </w:p>
    <w:p>
      <w:pPr>
        <w:pStyle w:val="ListeParagraf"/>
        <w:numPr>
          <w:ilvl w:val="0"/>
          <w:numId w:val="1"/>
        </w:numPr>
        <w:spacing w:after="60"/>
        <w:jc w:val="both"/>
      </w:pPr>
      <w:r>
        <w:rPr>
          <w:rFonts w:ascii="Calibri" w:hAnsi="Calibri" w:cs="Arial"/>
          <w:sz w:val="24"/>
          <w:szCs w:val="24"/>
        </w:rPr>
        <w:t xml:space="preserve">PRS-DEP-01 Goods Receiving Procedure; PRS-DEP-03 Storage and Stock Procedure; TLM-DEP-01, TLM-DEP-02, TLM-DEP-03, TLM-DEP-04</w:t>
      </w:r>
    </w:p>
    <w:p>
      <w:pPr>
        <w:pStyle w:val="ListeParagraf"/>
        <w:numPr>
          <w:ilvl w:val="0"/>
          <w:numId w:val="1"/>
        </w:numPr>
        <w:spacing w:after="60"/>
        <w:jc w:val="both"/>
      </w:pPr>
      <w:r>
        <w:rPr>
          <w:rFonts w:ascii="Calibri" w:hAnsi="Calibri" w:cs="Arial"/>
          <w:sz w:val="24"/>
          <w:szCs w:val="24"/>
        </w:rPr>
        <w:t xml:space="preserve">EMS.DP.POL.08.01. Warehouse and Logistics Policy</w:t>
      </w:r>
    </w:p>
    <w:p>
      <w:pPr>
        <w:pStyle w:val="ListeParagraf"/>
        <w:numPr>
          <w:ilvl w:val="0"/>
          <w:numId w:val="1"/>
        </w:numPr>
        <w:spacing w:after="60"/>
        <w:jc w:val="both"/>
      </w:pPr>
      <w:r>
        <w:rPr>
          <w:rFonts w:ascii="Calibri" w:hAnsi="Calibri" w:cs="Arial"/>
          <w:sz w:val="24"/>
          <w:szCs w:val="24"/>
        </w:rPr>
        <w:t xml:space="preserve">EMS.DP.PRO.08.03. Inventory Count Procedure</w:t>
      </w:r>
    </w:p>
    <w:p>
      <w:pPr>
        <w:pStyle w:val="ListeParagraf"/>
        <w:numPr>
          <w:ilvl w:val="0"/>
          <w:numId w:val="1"/>
        </w:numPr>
        <w:spacing w:after="60"/>
        <w:jc w:val="both"/>
      </w:pPr>
      <w:r>
        <w:rPr>
          <w:rFonts w:ascii="Calibri" w:hAnsi="Calibri" w:cs="Arial"/>
          <w:sz w:val="24"/>
          <w:szCs w:val="24"/>
        </w:rPr>
        <w:t xml:space="preserve">EMS.SA.PRO.04.02. Purchasing Procedure</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EMS.GR.PRO.14.01. GRS-RCS Material Receipt, Segregation and Mass Balance Procedure</w:t>
      </w:r>
    </w:p>
    <w:p>
      <w:pPr>
        <w:pStyle w:val="ListeParagraf"/>
        <w:numPr>
          <w:ilvl w:val="0"/>
          <w:numId w:val="1"/>
        </w:numPr>
        <w:spacing w:after="60"/>
        <w:jc w:val="both"/>
      </w:pPr>
      <w:r>
        <w:rPr>
          <w:rFonts w:ascii="Calibri" w:hAnsi="Calibri" w:cs="Arial"/>
          <w:sz w:val="24"/>
          <w:szCs w:val="24"/>
        </w:rPr>
        <w:t xml:space="preserve">EMS.KM.PRO.20.05. Chemical Storage and Handling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EMS.İD.PRO.03.02. Visitor and Subcontractor Vehicle Entry and Exit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FOLLOW-UP</w:t>
      </w:r>
    </w:p>
    <w:p>
      <w:pPr>
        <w:pStyle w:val="ListeParagraf"/>
        <w:spacing w:after="80"/>
        <w:ind w:left="709" w:right="0"/>
        <w:jc w:val="both"/>
      </w:pPr>
      <w:r>
        <w:rPr>
          <w:rFonts w:ascii="Calibri" w:hAnsi="Calibri" w:cs="Arial"/>
          <w:sz w:val="24"/>
          <w:szCs w:val="24"/>
        </w:rPr>
        <w:t xml:space="preserve">This procedure is reviewed every year by the Warehouse and Logistics Manager. Stock count results, audit findings and feedback from production and Quality Assurance are evaluated and the procedure is revised when necessary. Records are kept for three years.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استلام المواد الواردة وفحصها وتعريفها وحجرها والإفراج عنها وتخزينها وصرفها للإنتاج وجردها في شركة إيروغلو للتريكو (EMS)، بحيث تكون سجلات المخزون دقيقة وتُحمى المواد وتُحفظ إمكانية التتبع الكاملة (ISO 9001:2015، البندان 8.5.2 و8.5.4).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المواد الواردة إلى منشأة EMS: الغزل والأقمشة والإكسسوارات والملحقات ومواد التعبئة والأصباغ والكيماويات وقطع الغيار والمستهلكات، بما في ذلك المواد المرتجعة من المقاولين من الباطن، وذلك من الاستلام عند البوابة حتى الصرف للإنتاج وجرد المخزون.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المخازن والخدمات اللوجستية:</w:t>
      </w:r>
      <w:r>
        <w:rPr>
          <w:rFonts w:ascii="Calibri" w:hAnsi="Calibri" w:cs="Arial"/>
          <w:rtl/>
          <w:sz w:val="24"/>
          <w:szCs w:val="24"/>
        </w:rPr>
        <w:t xml:space="preserve"> يضمن تطبيق الإجراء ويعتمد تسويات المخزون وينظم عمليات الجرد.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المخازن:</w:t>
      </w:r>
      <w:r>
        <w:rPr>
          <w:rFonts w:ascii="Calibri" w:hAnsi="Calibri" w:cs="Arial"/>
          <w:rtl/>
          <w:sz w:val="24"/>
          <w:szCs w:val="24"/>
        </w:rPr>
        <w:t xml:space="preserve"> يستلمون المواد ويفحصونها ويضعون عليها البطاقات ويخزنونها ويصرفونها ويحدّثون نظام المخزون.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ينفذ فحص المواد الواردة ويفرج عن المواد أو يرفضها.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المختبر:</w:t>
      </w:r>
      <w:r>
        <w:rPr>
          <w:rFonts w:ascii="Calibri" w:hAnsi="Calibri" w:cs="Arial"/>
          <w:rtl/>
          <w:sz w:val="24"/>
          <w:szCs w:val="24"/>
        </w:rPr>
        <w:t xml:space="preserve"> ينفذ الاختبارات المطلوبة على المواد الواردة ويبلغ بالنتائج.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إدارة المشتريات:</w:t>
      </w:r>
      <w:r>
        <w:rPr>
          <w:rFonts w:ascii="Calibri" w:hAnsi="Calibri" w:cs="Arial"/>
          <w:rtl/>
          <w:sz w:val="24"/>
          <w:szCs w:val="24"/>
        </w:rPr>
        <w:t xml:space="preserve"> توفر معلومات أوامر الشراء وتتعامل مع حالات عدم المطابقة والمرتجعات والاستبدال مع الموردين.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أمين مخزن الكيماويات:</w:t>
      </w:r>
      <w:r>
        <w:rPr>
          <w:rFonts w:ascii="Calibri" w:hAnsi="Calibri" w:cs="Arial"/>
          <w:rtl/>
          <w:sz w:val="24"/>
          <w:szCs w:val="24"/>
        </w:rPr>
        <w:t xml:space="preserve"> يستلم الكيماويات ويخزنها وفق صحف بيانات السلامة (SDS) وقواعد تخزين الكيماويات.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الأمن:</w:t>
      </w:r>
      <w:r>
        <w:rPr>
          <w:rFonts w:ascii="Calibri" w:hAnsi="Calibri" w:cs="Arial"/>
          <w:rtl/>
          <w:sz w:val="24"/>
          <w:szCs w:val="24"/>
        </w:rPr>
        <w:t xml:space="preserve"> يفحص وثائق التسليم والأختام عند البوابة.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مذكرة استلام البضائع (GRN):</w:t>
      </w:r>
      <w:r>
        <w:rPr>
          <w:rFonts w:ascii="Calibri" w:hAnsi="Calibri" w:cs="Arial"/>
          <w:rtl/>
          <w:sz w:val="24"/>
          <w:szCs w:val="24"/>
        </w:rPr>
        <w:t xml:space="preserve"> السجل الذي يؤكد كمية المواد المستلمة وحالتها مقارنة بأمر الشراء.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حالة المادة:</w:t>
      </w:r>
      <w:r>
        <w:rPr>
          <w:rFonts w:ascii="Calibri" w:hAnsi="Calibri" w:cs="Arial"/>
          <w:rtl/>
          <w:sz w:val="24"/>
          <w:szCs w:val="24"/>
        </w:rPr>
        <w:t xml:space="preserve"> البطاقة التي توضح حالة فحص المادة: بانتظار الفحص (حجر)، أو مقبولة، أو مرفوضة.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الحد الأدنى للمخزون:</w:t>
      </w:r>
      <w:r>
        <w:rPr>
          <w:rFonts w:ascii="Calibri" w:hAnsi="Calibri" w:cs="Arial"/>
          <w:rtl/>
          <w:sz w:val="24"/>
          <w:szCs w:val="24"/>
        </w:rPr>
        <w:t xml:space="preserve"> الكمية التي يجب عندها فتح طلب شراء جديد.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FIFO:</w:t>
      </w:r>
      <w:r>
        <w:rPr>
          <w:rFonts w:ascii="Calibri" w:hAnsi="Calibri" w:cs="Arial"/>
          <w:rtl/>
          <w:sz w:val="24"/>
          <w:szCs w:val="24"/>
        </w:rPr>
        <w:t xml:space="preserve"> الوارد أولًا يُصرف أولًا؛ تُصرف أقدم دفعة معتمدة أولًا.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منطقة الحجر:</w:t>
      </w:r>
      <w:r>
        <w:rPr>
          <w:rFonts w:ascii="Calibri" w:hAnsi="Calibri" w:cs="Arial"/>
          <w:rtl/>
          <w:sz w:val="24"/>
          <w:szCs w:val="24"/>
        </w:rPr>
        <w:t xml:space="preserve"> المنطقة المحددة التي تُحفظ فيها المواد بانتظار الفحص أو المرفوضة منفصلة عن المخزون المعتمد.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دقة المخزون:</w:t>
      </w:r>
      <w:r>
        <w:rPr>
          <w:rFonts w:ascii="Calibri" w:hAnsi="Calibri" w:cs="Arial"/>
          <w:rtl/>
          <w:sz w:val="24"/>
          <w:szCs w:val="24"/>
        </w:rPr>
        <w:t xml:space="preserve"> نسبة التطابق بين الجرد الفعلي ونظام المخزون.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الاستلام</w:t>
      </w:r>
    </w:p>
    <w:p>
      <w:pPr>
        <w:pStyle w:val="ListeParagraf"/>
        <w:bidi/>
        <w:spacing w:after="80"/>
        <w:ind w:left="0" w:right="709"/>
        <w:jc w:val="both"/>
      </w:pPr>
      <w:r>
        <w:rPr>
          <w:rFonts w:ascii="Calibri" w:hAnsi="Calibri" w:cs="Arial"/>
          <w:rtl/>
          <w:sz w:val="24"/>
          <w:szCs w:val="24"/>
        </w:rPr>
        <w:t xml:space="preserve">1.1. تدخل المركبات الواردة إلى الموقع وفق EMS.İD.PRO.03.02.؛ ويفحص الأمن وثائق التسليم والأختام قبل التفريغ. وتُفحص المركبات من حيث التلف والنظافة والرائحة؛ وفي حالة الكيماويات يُتحقق من ملاءمة المركبة والملصقات (TLM-DEP-01).</w:t>
      </w:r>
    </w:p>
    <w:p>
      <w:pPr>
        <w:pStyle w:val="ListeParagraf"/>
        <w:bidi/>
        <w:spacing w:after="80"/>
        <w:ind w:left="0" w:right="709"/>
        <w:jc w:val="both"/>
      </w:pPr>
      <w:r>
        <w:rPr>
          <w:rFonts w:ascii="Calibri" w:hAnsi="Calibri" w:cs="Arial"/>
          <w:rtl/>
          <w:sz w:val="24"/>
          <w:szCs w:val="24"/>
        </w:rPr>
        <w:t xml:space="preserve">1.2. يطابق موظفو المخازن التوريد مع أمر الشراء ومذكرة التسليم:</w:t>
      </w:r>
    </w:p>
    <w:p>
      <w:pPr>
        <w:pStyle w:val="ListeParagraf"/>
        <w:numPr>
          <w:ilvl w:val="0"/>
          <w:numId w:val="1"/>
        </w:numPr>
        <w:bidi/>
        <w:spacing w:after="60"/>
        <w:jc w:val="both"/>
      </w:pPr>
      <w:r>
        <w:rPr>
          <w:rFonts w:ascii="Calibri" w:hAnsi="Calibri" w:cs="Arial"/>
          <w:rtl/>
          <w:sz w:val="24"/>
          <w:szCs w:val="24"/>
        </w:rPr>
        <w:t xml:space="preserve">اسم المورد والصنف واللون والدفعة والكمية،</w:t>
      </w:r>
    </w:p>
    <w:p>
      <w:pPr>
        <w:pStyle w:val="ListeParagraf"/>
        <w:numPr>
          <w:ilvl w:val="0"/>
          <w:numId w:val="1"/>
        </w:numPr>
        <w:bidi/>
        <w:spacing w:after="60"/>
        <w:jc w:val="both"/>
      </w:pPr>
      <w:r>
        <w:rPr>
          <w:rFonts w:ascii="Calibri" w:hAnsi="Calibri" w:cs="Arial"/>
          <w:rtl/>
          <w:sz w:val="24"/>
          <w:szCs w:val="24"/>
        </w:rPr>
        <w:t xml:space="preserve">حالة التعبئة والتلف أو الرطوبة أو التلوث،</w:t>
      </w:r>
    </w:p>
    <w:p>
      <w:pPr>
        <w:pStyle w:val="ListeParagraf"/>
        <w:numPr>
          <w:ilvl w:val="0"/>
          <w:numId w:val="1"/>
        </w:numPr>
        <w:bidi/>
        <w:spacing w:after="60"/>
        <w:jc w:val="both"/>
      </w:pPr>
      <w:r>
        <w:rPr>
          <w:rFonts w:ascii="Calibri" w:hAnsi="Calibri" w:cs="Arial"/>
          <w:rtl/>
          <w:sz w:val="24"/>
          <w:szCs w:val="24"/>
        </w:rPr>
        <w:t xml:space="preserve">الوثائق المطلوبة: شهادة التحليل، وصحيفة بيانات السلامة (SDS) للكيماويات، وشهادة المعاملة للمواد المعتمدة.</w:t>
      </w:r>
    </w:p>
    <w:p>
      <w:pPr>
        <w:pStyle w:val="ListeParagraf"/>
        <w:bidi/>
        <w:spacing w:after="80"/>
        <w:ind w:left="0" w:right="709"/>
        <w:jc w:val="both"/>
      </w:pPr>
      <w:r>
        <w:rPr>
          <w:rFonts w:ascii="Calibri" w:hAnsi="Calibri" w:cs="Arial"/>
          <w:rtl/>
          <w:sz w:val="24"/>
          <w:szCs w:val="24"/>
        </w:rPr>
        <w:t xml:space="preserve">1.3. تُسجل الفروقات أو التلفيات على مذكرة التسليم وتُبلغ إلى إدارة المشتريات في اليوم نفسه.</w:t>
      </w:r>
    </w:p>
    <w:p>
      <w:pPr>
        <w:pStyle w:val="ListeParagraf"/>
        <w:bidi/>
        <w:spacing w:after="80"/>
        <w:ind w:left="0" w:right="709"/>
        <w:jc w:val="both"/>
      </w:pPr>
      <w:r>
        <w:rPr>
          <w:rFonts w:ascii="Calibri" w:hAnsi="Calibri" w:cs="Arial"/>
          <w:rtl/>
          <w:sz w:val="24"/>
          <w:szCs w:val="24"/>
        </w:rPr>
        <w:t xml:space="preserve">1.4. تُصدر مذكرة استلام البضائع وتُسجل في سجل استلام البضائع (FRM-DEP-01)؛ وتوضع على المواد بطاقة «بانتظار الفحص» وتُوضع في منطقة الاستلام أو منطقة الحجر.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فحص المواد الواردة والإفراج عنها</w:t>
      </w:r>
    </w:p>
    <w:p>
      <w:pPr>
        <w:pStyle w:val="ListeParagraf"/>
        <w:bidi/>
        <w:spacing w:after="80"/>
        <w:ind w:left="0" w:right="709"/>
        <w:jc w:val="both"/>
      </w:pPr>
      <w:r>
        <w:rPr>
          <w:rFonts w:ascii="Calibri" w:hAnsi="Calibri" w:cs="Arial"/>
          <w:rtl/>
          <w:sz w:val="24"/>
          <w:szCs w:val="24"/>
        </w:rPr>
        <w:t xml:space="preserve">2.1. يفحص ضمان الجودة المواد وفق EMS.QA.PRO.02.09 وخطة الفحص (أخذ العينات بحسب AQL / ISO 2859-1 أو مواصفات العميل)؛ ويُستكمل نموذج استلام الأقمشة (EMS.WH.FRM.01.01) لأتواب الأقمشة (TLM-DEP-02). وتُجرى الاختبارات المعملية عند الحاجة.</w:t>
      </w:r>
    </w:p>
    <w:p>
      <w:pPr>
        <w:pStyle w:val="ListeParagraf"/>
        <w:bidi/>
        <w:spacing w:after="80"/>
        <w:ind w:left="0" w:right="709"/>
        <w:jc w:val="both"/>
      </w:pPr>
      <w:r>
        <w:rPr>
          <w:rFonts w:ascii="Calibri" w:hAnsi="Calibri" w:cs="Arial"/>
          <w:rtl/>
          <w:sz w:val="24"/>
          <w:szCs w:val="24"/>
        </w:rPr>
        <w:t xml:space="preserve">2.2. بالنسبة للكيماويات يُفحص سلامة العبوة والملصق ووجود صحيفة بيانات السلامة (SDS).</w:t>
      </w:r>
    </w:p>
    <w:p>
      <w:pPr>
        <w:pStyle w:val="ListeParagraf"/>
        <w:bidi/>
        <w:spacing w:after="80"/>
        <w:ind w:left="0" w:right="709"/>
        <w:jc w:val="both"/>
      </w:pPr>
      <w:r>
        <w:rPr>
          <w:rFonts w:ascii="Calibri" w:hAnsi="Calibri" w:cs="Arial"/>
          <w:rtl/>
          <w:sz w:val="24"/>
          <w:szCs w:val="24"/>
        </w:rPr>
        <w:t xml:space="preserve">2.3. توضع على المواد المقبولة بطاقة «مقبولة» وتُنقل إلى موقع تخزينها؛ وتوضع على المواد المرفوضة بطاقة «مرفوضة» وتُحفظ في منطقة الحجر حتى إعادتها إلى المورد (TLM-DEP-03).</w:t>
      </w:r>
    </w:p>
    <w:p>
      <w:pPr>
        <w:pStyle w:val="ListeParagraf"/>
        <w:bidi/>
        <w:spacing w:after="80"/>
        <w:ind w:left="0" w:right="709"/>
        <w:jc w:val="both"/>
      </w:pPr>
      <w:r>
        <w:rPr>
          <w:rFonts w:ascii="Calibri" w:hAnsi="Calibri" w:cs="Arial"/>
          <w:rtl/>
          <w:sz w:val="24"/>
          <w:szCs w:val="24"/>
        </w:rPr>
        <w:t xml:space="preserve">2.4. بالنسبة للمواد المرفوضة يُفتح نموذج إشعار المادة غير المطابقة (FRM-DEP-02)؛ وتتولى المشتريات الإرجاع أو الاستبدال.</w:t>
      </w:r>
    </w:p>
    <w:p>
      <w:pPr>
        <w:pStyle w:val="ListeParagraf"/>
        <w:bidi/>
        <w:spacing w:after="80"/>
        <w:ind w:left="0" w:right="709"/>
        <w:jc w:val="both"/>
      </w:pPr>
      <w:r>
        <w:rPr>
          <w:rFonts w:ascii="Calibri" w:hAnsi="Calibri" w:cs="Arial"/>
          <w:rtl/>
          <w:sz w:val="24"/>
          <w:szCs w:val="24"/>
        </w:rPr>
        <w:t xml:space="preserve">2.5. تُحفظ المواد المعتمدة (GRS وRCS وOCS) منفصلة فعليًا ومعرّفة وفق EMS.GR.PRO.14.01.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التخزين</w:t>
      </w:r>
    </w:p>
    <w:p>
      <w:pPr>
        <w:pStyle w:val="ListeParagraf"/>
        <w:bidi/>
        <w:spacing w:after="80"/>
        <w:ind w:left="0" w:right="709"/>
        <w:jc w:val="both"/>
      </w:pPr>
      <w:r>
        <w:rPr>
          <w:rFonts w:ascii="Calibri" w:hAnsi="Calibri" w:cs="Arial"/>
          <w:rtl/>
          <w:sz w:val="24"/>
          <w:szCs w:val="24"/>
        </w:rPr>
        <w:t xml:space="preserve">3.1. تُخزن كل مادة في موقع تخزين محدد وفق مخطط التخزين وتُسجل في نظام المخزون مع الطلبية والدفعة والموقع (TLM-DEP-04).</w:t>
      </w:r>
    </w:p>
    <w:p>
      <w:pPr>
        <w:pStyle w:val="ListeParagraf"/>
        <w:bidi/>
        <w:spacing w:after="80"/>
        <w:ind w:left="0" w:right="709"/>
        <w:jc w:val="both"/>
      </w:pPr>
      <w:r>
        <w:rPr>
          <w:rFonts w:ascii="Calibri" w:hAnsi="Calibri" w:cs="Arial"/>
          <w:rtl/>
          <w:sz w:val="24"/>
          <w:szCs w:val="24"/>
        </w:rPr>
        <w:t xml:space="preserve">3.2. تُخزن المواد على منصات أو أرفف بعيدًا عن الأرض والجدران، ومحمية من أشعة الشمس والرطوبة والغبار؛ ويُلتزم بارتفاعات الرص وحدود تحميل الأرفف؛ وتُراقب ظروف الحرارة والرطوبة عندما تتطلبها المادة.</w:t>
      </w:r>
    </w:p>
    <w:p>
      <w:pPr>
        <w:pStyle w:val="ListeParagraf"/>
        <w:bidi/>
        <w:spacing w:after="80"/>
        <w:ind w:left="0" w:right="709"/>
        <w:jc w:val="both"/>
      </w:pPr>
      <w:r>
        <w:rPr>
          <w:rFonts w:ascii="Calibri" w:hAnsi="Calibri" w:cs="Arial"/>
          <w:rtl/>
          <w:sz w:val="24"/>
          <w:szCs w:val="24"/>
        </w:rPr>
        <w:t xml:space="preserve">3.3. تُخزن الكيماويات في مخزن الكيماويات فقط وفق صحف بيانات السلامة (SDS)، مع الاحتواء الثانوي والفصل حسب التوافق وأطقم مكافحة الانسكاب.</w:t>
      </w:r>
    </w:p>
    <w:p>
      <w:pPr>
        <w:pStyle w:val="ListeParagraf"/>
        <w:bidi/>
        <w:spacing w:after="80"/>
        <w:ind w:left="0" w:right="709"/>
        <w:jc w:val="both"/>
      </w:pPr>
      <w:r>
        <w:rPr>
          <w:rFonts w:ascii="Calibri" w:hAnsi="Calibri" w:cs="Arial"/>
          <w:rtl/>
          <w:sz w:val="24"/>
          <w:szCs w:val="24"/>
        </w:rPr>
        <w:t xml:space="preserve">3.4. تبقى الممرات ومعدات الحريق واللوحات الكهربائية ومخارج الطوارئ خالية في جميع الأوقات؛ ويُمنع التدخين واللهب المكشوف.</w:t>
      </w:r>
    </w:p>
    <w:p>
      <w:pPr>
        <w:pStyle w:val="ListeParagraf"/>
        <w:bidi/>
        <w:spacing w:after="80"/>
        <w:ind w:left="0" w:right="709"/>
        <w:jc w:val="both"/>
      </w:pPr>
      <w:r>
        <w:rPr>
          <w:rFonts w:ascii="Calibri" w:hAnsi="Calibri" w:cs="Arial"/>
          <w:rtl/>
          <w:sz w:val="24"/>
          <w:szCs w:val="24"/>
        </w:rPr>
        <w:t xml:space="preserve">3.5. يُطبق مبدأ FIFO؛ وتُفحص المواد ذات تاريخ الصلاحية (الكيماويات والمواد اللاصقة) شهريًا وتُعزل المواد منتهية الصلاحية وتُعامل كمواد غير 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الصرف للإنتاج</w:t>
      </w:r>
    </w:p>
    <w:p>
      <w:pPr>
        <w:pStyle w:val="ListeParagraf"/>
        <w:bidi/>
        <w:spacing w:after="80"/>
        <w:ind w:left="0" w:right="709"/>
        <w:jc w:val="both"/>
      </w:pPr>
      <w:r>
        <w:rPr>
          <w:rFonts w:ascii="Calibri" w:hAnsi="Calibri" w:cs="Arial"/>
          <w:rtl/>
          <w:sz w:val="24"/>
          <w:szCs w:val="24"/>
        </w:rPr>
        <w:t xml:space="preserve">4.1. لا تُصرف المواد إلا مقابل طلب مواد معتمد أو أمر إنتاج، ولا تُصرف إلا إذا كانت تحمل بطاقة «مقبولة».</w:t>
      </w:r>
    </w:p>
    <w:p>
      <w:pPr>
        <w:pStyle w:val="ListeParagraf"/>
        <w:bidi/>
        <w:spacing w:after="80"/>
        <w:ind w:left="0" w:right="709"/>
        <w:jc w:val="both"/>
      </w:pPr>
      <w:r>
        <w:rPr>
          <w:rFonts w:ascii="Calibri" w:hAnsi="Calibri" w:cs="Arial"/>
          <w:rtl/>
          <w:sz w:val="24"/>
          <w:szCs w:val="24"/>
        </w:rPr>
        <w:t xml:space="preserve">4.2. تُسجل الكميات المصروفة في نظام المخزون مع رقم الطلبية والدفعة؛ وتُفحص المواد غير المستخدمة المرتجعة من الإنتاج وتُسجل وتُعاد إلى المخزون.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جرد المخزون</w:t>
      </w:r>
    </w:p>
    <w:p>
      <w:pPr>
        <w:pStyle w:val="ListeParagraf"/>
        <w:bidi/>
        <w:spacing w:after="80"/>
        <w:ind w:left="0" w:right="709"/>
        <w:jc w:val="both"/>
      </w:pPr>
      <w:r>
        <w:rPr>
          <w:rFonts w:ascii="Calibri" w:hAnsi="Calibri" w:cs="Arial"/>
          <w:rtl/>
          <w:sz w:val="24"/>
          <w:szCs w:val="24"/>
        </w:rPr>
        <w:t xml:space="preserve">5.1. يُجرى جرد كامل للمخزون مرة واحدة سنويًا على الأقل، وجرد دوري للمواد الحرجة شهريًا؛ وتُسجل نتائج الجرد في نموذج جرد المخزون (FRM-DEP-03).</w:t>
      </w:r>
    </w:p>
    <w:p>
      <w:pPr>
        <w:pStyle w:val="ListeParagraf"/>
        <w:bidi/>
        <w:spacing w:after="80"/>
        <w:ind w:left="0" w:right="709"/>
        <w:jc w:val="both"/>
      </w:pPr>
      <w:r>
        <w:rPr>
          <w:rFonts w:ascii="Calibri" w:hAnsi="Calibri" w:cs="Arial"/>
          <w:rtl/>
          <w:sz w:val="24"/>
          <w:szCs w:val="24"/>
        </w:rPr>
        <w:t xml:space="preserve">5.2. يُحقق في الفروقات، ويعتمد مدير المخازن والخدمات اللوجستية تسويات المخزون.</w:t>
      </w:r>
    </w:p>
    <w:p>
      <w:pPr>
        <w:pStyle w:val="ListeParagraf"/>
        <w:bidi/>
        <w:spacing w:after="80"/>
        <w:ind w:left="0" w:right="709"/>
        <w:jc w:val="both"/>
      </w:pPr>
      <w:r>
        <w:rPr>
          <w:rFonts w:ascii="Calibri" w:hAnsi="Calibri" w:cs="Arial"/>
          <w:rtl/>
          <w:sz w:val="24"/>
          <w:szCs w:val="24"/>
        </w:rPr>
        <w:t xml:space="preserve">5.3. تُعامل فروقات الجرد التي تتجاوز الحد المسموح (مثال: 1%) كحالات عدم 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 والإجراء التصحيحي</w:t>
      </w:r>
    </w:p>
    <w:p>
      <w:pPr>
        <w:pStyle w:val="ListeParagraf"/>
        <w:bidi/>
        <w:spacing w:after="80"/>
        <w:ind w:left="0" w:right="709"/>
        <w:jc w:val="both"/>
      </w:pPr>
      <w:r>
        <w:rPr>
          <w:rFonts w:ascii="Calibri" w:hAnsi="Calibri" w:cs="Arial"/>
          <w:rtl/>
          <w:sz w:val="24"/>
          <w:szCs w:val="24"/>
        </w:rPr>
        <w:t xml:space="preserve">6.1. تُعد التالية حالات عدم مطابقة: مادة غير مطابقة أو تالفة، أو فرق في مذكرة التسليم، أو استخدام مادة بلا بطاقة، أو صرف مادة دون فحص، أو فرق جرد يتجاوز الحد.</w:t>
      </w:r>
    </w:p>
    <w:p>
      <w:pPr>
        <w:pStyle w:val="ListeParagraf"/>
        <w:bidi/>
        <w:spacing w:after="80"/>
        <w:ind w:left="0" w:right="709"/>
        <w:jc w:val="both"/>
      </w:pPr>
      <w:r>
        <w:rPr>
          <w:rFonts w:ascii="Calibri" w:hAnsi="Calibri" w:cs="Arial"/>
          <w:rtl/>
          <w:sz w:val="24"/>
          <w:szCs w:val="24"/>
        </w:rPr>
        <w:t xml:space="preserve">6.2. الإجراء الفوري: توضع المادة في الحجر، ويُبلغ ضمان الجودة والمشتريات ومدير المخازن في اليوم نفسه.</w:t>
      </w:r>
    </w:p>
    <w:p>
      <w:pPr>
        <w:pStyle w:val="ListeParagraf"/>
        <w:bidi/>
        <w:spacing w:after="80"/>
        <w:ind w:left="0" w:right="709"/>
        <w:jc w:val="both"/>
      </w:pPr>
      <w:r>
        <w:rPr>
          <w:rFonts w:ascii="Calibri" w:hAnsi="Calibri" w:cs="Arial"/>
          <w:rtl/>
          <w:sz w:val="24"/>
          <w:szCs w:val="24"/>
        </w:rPr>
        <w:t xml:space="preserve">6.3. إذا كان السبب من المورد يُطلب تقرير 8D عبر المشتريات؛ وإذا كان السبب داخليًا يُحلل سبب العملية ويُكلف بإجراء تصحيحي (DOP/CAPA) وفق EMS.KS.PRO.22.03.</w:t>
      </w:r>
    </w:p>
    <w:p>
      <w:pPr>
        <w:pStyle w:val="ListeParagraf"/>
        <w:bidi/>
        <w:spacing w:after="80"/>
        <w:ind w:left="0" w:right="709"/>
        <w:jc w:val="both"/>
      </w:pPr>
      <w:r>
        <w:rPr>
          <w:rFonts w:ascii="Calibri" w:hAnsi="Calibri" w:cs="Arial"/>
          <w:rtl/>
          <w:sz w:val="24"/>
          <w:szCs w:val="24"/>
        </w:rPr>
        <w:t xml:space="preserve">6.4. تُغلق الحالة بعد التحقق في التوريدات التالية من عدم تكرار عدم المطابقة نفسها؛ وتُضاف الأدلة إلى السجل.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المتابعة والأداء</w:t>
      </w:r>
    </w:p>
    <w:p>
      <w:pPr>
        <w:pStyle w:val="ListeParagraf"/>
        <w:bidi/>
        <w:spacing w:after="80"/>
        <w:ind w:left="0" w:right="709"/>
        <w:jc w:val="both"/>
      </w:pPr>
      <w:r>
        <w:rPr>
          <w:rFonts w:ascii="Calibri" w:hAnsi="Calibri" w:cs="Arial"/>
          <w:rtl/>
          <w:sz w:val="24"/>
          <w:szCs w:val="24"/>
        </w:rPr>
        <w:t xml:space="preserve">7.1. تُتابع المؤشرات التالية شهريًا:</w:t>
      </w:r>
    </w:p>
    <w:p>
      <w:pPr>
        <w:pStyle w:val="ListeParagraf"/>
        <w:numPr>
          <w:ilvl w:val="0"/>
          <w:numId w:val="1"/>
        </w:numPr>
        <w:bidi/>
        <w:spacing w:after="60"/>
        <w:jc w:val="both"/>
      </w:pPr>
      <w:r>
        <w:rPr>
          <w:rFonts w:ascii="Calibri" w:hAnsi="Calibri" w:cs="Arial"/>
          <w:rtl/>
          <w:sz w:val="24"/>
          <w:szCs w:val="24"/>
        </w:rPr>
        <w:t xml:space="preserve">نسبة دقة المخزون (هدف إرشادي: 99% على الأقل) وفرق الجرد (حد إرشادي: لا يزيد على 1%)،</w:t>
      </w:r>
    </w:p>
    <w:p>
      <w:pPr>
        <w:pStyle w:val="ListeParagraf"/>
        <w:numPr>
          <w:ilvl w:val="0"/>
          <w:numId w:val="1"/>
        </w:numPr>
        <w:bidi/>
        <w:spacing w:after="60"/>
        <w:jc w:val="both"/>
      </w:pPr>
      <w:r>
        <w:rPr>
          <w:rFonts w:ascii="Calibri" w:hAnsi="Calibri" w:cs="Arial"/>
          <w:rtl/>
          <w:sz w:val="24"/>
          <w:szCs w:val="24"/>
        </w:rPr>
        <w:t xml:space="preserve">الدفعات المخزنة أو المصروفة دون فحص (الهدف: 0)،</w:t>
      </w:r>
    </w:p>
    <w:p>
      <w:pPr>
        <w:pStyle w:val="ListeParagraf"/>
        <w:numPr>
          <w:ilvl w:val="0"/>
          <w:numId w:val="1"/>
        </w:numPr>
        <w:bidi/>
        <w:spacing w:after="60"/>
        <w:jc w:val="both"/>
      </w:pPr>
      <w:r>
        <w:rPr>
          <w:rFonts w:ascii="Calibri" w:hAnsi="Calibri" w:cs="Arial"/>
          <w:rtl/>
          <w:sz w:val="24"/>
          <w:szCs w:val="24"/>
        </w:rPr>
        <w:t xml:space="preserve">نسبة التوريدات ذات سجل الاستلام المكتمل (الهدف: 100%)،</w:t>
      </w:r>
    </w:p>
    <w:p>
      <w:pPr>
        <w:pStyle w:val="ListeParagraf"/>
        <w:numPr>
          <w:ilvl w:val="0"/>
          <w:numId w:val="1"/>
        </w:numPr>
        <w:bidi/>
        <w:spacing w:after="60"/>
        <w:jc w:val="both"/>
      </w:pPr>
      <w:r>
        <w:rPr>
          <w:rFonts w:ascii="Calibri" w:hAnsi="Calibri" w:cs="Arial"/>
          <w:rtl/>
          <w:sz w:val="24"/>
          <w:szCs w:val="24"/>
        </w:rPr>
        <w:t xml:space="preserve">عدد المواد التالفة أو المفقودة أثناء التخزين،</w:t>
      </w:r>
    </w:p>
    <w:p>
      <w:pPr>
        <w:pStyle w:val="ListeParagraf"/>
        <w:numPr>
          <w:ilvl w:val="0"/>
          <w:numId w:val="1"/>
        </w:numPr>
        <w:bidi/>
        <w:spacing w:after="60"/>
        <w:jc w:val="both"/>
      </w:pPr>
      <w:r>
        <w:rPr>
          <w:rFonts w:ascii="Calibri" w:hAnsi="Calibri" w:cs="Arial"/>
          <w:rtl/>
          <w:sz w:val="24"/>
          <w:szCs w:val="24"/>
        </w:rPr>
        <w:t xml:space="preserve">قيمة المخزون بطيء الحركة والراكد.</w:t>
      </w:r>
    </w:p>
    <w:p>
      <w:pPr>
        <w:pStyle w:val="ListeParagraf"/>
        <w:bidi/>
        <w:spacing w:after="80"/>
        <w:ind w:left="0" w:right="709"/>
        <w:jc w:val="both"/>
      </w:pPr>
      <w:r>
        <w:rPr>
          <w:rFonts w:ascii="Calibri" w:hAnsi="Calibri" w:cs="Arial"/>
          <w:rtl/>
          <w:sz w:val="24"/>
          <w:szCs w:val="24"/>
        </w:rPr>
        <w:t xml:space="preserve">7.2. تُحدد الأهداف في سياسة الشركة ومواصفات العميل وتُحدّث عند الحاجة.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مذكرات استلام البضائع ومذكرات التسليم؛ سجل استلام البضائع (FRM-DEP-01)</w:t>
      </w:r>
    </w:p>
    <w:p>
      <w:pPr>
        <w:pStyle w:val="ListeParagraf"/>
        <w:numPr>
          <w:ilvl w:val="0"/>
          <w:numId w:val="1"/>
        </w:numPr>
        <w:bidi/>
        <w:spacing w:after="60"/>
        <w:jc w:val="both"/>
      </w:pPr>
      <w:r>
        <w:rPr>
          <w:rFonts w:ascii="Calibri" w:hAnsi="Calibri" w:cs="Arial"/>
          <w:rtl/>
          <w:sz w:val="24"/>
          <w:szCs w:val="24"/>
        </w:rPr>
        <w:t xml:space="preserve">EMS.WH.FRM.01.01. نموذج استلام الأقمشة</w:t>
      </w:r>
    </w:p>
    <w:p>
      <w:pPr>
        <w:pStyle w:val="ListeParagraf"/>
        <w:numPr>
          <w:ilvl w:val="0"/>
          <w:numId w:val="1"/>
        </w:numPr>
        <w:bidi/>
        <w:spacing w:after="60"/>
        <w:jc w:val="both"/>
      </w:pPr>
      <w:r>
        <w:rPr>
          <w:rFonts w:ascii="Calibri" w:hAnsi="Calibri" w:cs="Arial"/>
          <w:rtl/>
          <w:sz w:val="24"/>
          <w:szCs w:val="24"/>
        </w:rPr>
        <w:t xml:space="preserve">إشعار المادة غير المطابقة (FRM-DEP-02)</w:t>
      </w:r>
    </w:p>
    <w:p>
      <w:pPr>
        <w:pStyle w:val="ListeParagraf"/>
        <w:numPr>
          <w:ilvl w:val="0"/>
          <w:numId w:val="1"/>
        </w:numPr>
        <w:bidi/>
        <w:spacing w:after="60"/>
        <w:jc w:val="both"/>
      </w:pPr>
      <w:r>
        <w:rPr>
          <w:rFonts w:ascii="Calibri" w:hAnsi="Calibri" w:cs="Arial"/>
          <w:rtl/>
          <w:sz w:val="24"/>
          <w:szCs w:val="24"/>
        </w:rPr>
        <w:t xml:space="preserve">نموذج جرد المخزون (FRM-DEP-03) وسجلات الجرد</w:t>
      </w:r>
    </w:p>
    <w:p>
      <w:pPr>
        <w:pStyle w:val="ListeParagraf"/>
        <w:numPr>
          <w:ilvl w:val="0"/>
          <w:numId w:val="1"/>
        </w:numPr>
        <w:bidi/>
        <w:spacing w:after="60"/>
        <w:jc w:val="both"/>
      </w:pPr>
      <w:r>
        <w:rPr>
          <w:rFonts w:ascii="Calibri" w:hAnsi="Calibri" w:cs="Arial"/>
          <w:rtl/>
          <w:sz w:val="24"/>
          <w:szCs w:val="24"/>
        </w:rPr>
        <w:t xml:space="preserve">بطاقات حالة المواد وسجلات المخزون</w:t>
      </w:r>
    </w:p>
    <w:p>
      <w:pPr>
        <w:pStyle w:val="ListeParagraf"/>
        <w:numPr>
          <w:ilvl w:val="0"/>
          <w:numId w:val="1"/>
        </w:numPr>
        <w:bidi/>
        <w:spacing w:after="60"/>
        <w:jc w:val="both"/>
      </w:pPr>
      <w:r>
        <w:rPr>
          <w:rFonts w:ascii="Calibri" w:hAnsi="Calibri" w:cs="Arial"/>
          <w:rtl/>
          <w:sz w:val="24"/>
          <w:szCs w:val="24"/>
        </w:rPr>
        <w:t xml:space="preserve">PRS-DEP-01 إجراء استلام البضائع؛ PRS-DEP-03 إجراء التخزين والمخزون؛ TLM-DEP-01 وTLM-DEP-02 وTLM-DEP-03 وTLM-DEP-04</w:t>
      </w:r>
    </w:p>
    <w:p>
      <w:pPr>
        <w:pStyle w:val="ListeParagraf"/>
        <w:numPr>
          <w:ilvl w:val="0"/>
          <w:numId w:val="1"/>
        </w:numPr>
        <w:bidi/>
        <w:spacing w:after="60"/>
        <w:jc w:val="both"/>
      </w:pPr>
      <w:r>
        <w:rPr>
          <w:rFonts w:ascii="Calibri" w:hAnsi="Calibri" w:cs="Arial"/>
          <w:rtl/>
          <w:sz w:val="24"/>
          <w:szCs w:val="24"/>
        </w:rPr>
        <w:t xml:space="preserve">EMS.DP.POL.08.01. سياسة المخازن والخدمات اللوجستية</w:t>
      </w:r>
    </w:p>
    <w:p>
      <w:pPr>
        <w:pStyle w:val="ListeParagraf"/>
        <w:numPr>
          <w:ilvl w:val="0"/>
          <w:numId w:val="1"/>
        </w:numPr>
        <w:bidi/>
        <w:spacing w:after="60"/>
        <w:jc w:val="both"/>
      </w:pPr>
      <w:r>
        <w:rPr>
          <w:rFonts w:ascii="Calibri" w:hAnsi="Calibri" w:cs="Arial"/>
          <w:rtl/>
          <w:sz w:val="24"/>
          <w:szCs w:val="24"/>
        </w:rPr>
        <w:t xml:space="preserve">EMS.DP.PRO.08.03. إجراء جرد المخزون</w:t>
      </w:r>
    </w:p>
    <w:p>
      <w:pPr>
        <w:pStyle w:val="ListeParagraf"/>
        <w:numPr>
          <w:ilvl w:val="0"/>
          <w:numId w:val="1"/>
        </w:numPr>
        <w:bidi/>
        <w:spacing w:after="60"/>
        <w:jc w:val="both"/>
      </w:pPr>
      <w:r>
        <w:rPr>
          <w:rFonts w:ascii="Calibri" w:hAnsi="Calibri" w:cs="Arial"/>
          <w:rtl/>
          <w:sz w:val="24"/>
          <w:szCs w:val="24"/>
        </w:rPr>
        <w:t xml:space="preserve">EMS.SA.PRO.04.02. إجراء المشتريات</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أثناء الإنتاج، النهائي AQL)</w:t>
      </w:r>
    </w:p>
    <w:p>
      <w:pPr>
        <w:pStyle w:val="ListeParagraf"/>
        <w:numPr>
          <w:ilvl w:val="0"/>
          <w:numId w:val="1"/>
        </w:numPr>
        <w:bidi/>
        <w:spacing w:after="60"/>
        <w:jc w:val="both"/>
      </w:pPr>
      <w:r>
        <w:rPr>
          <w:rFonts w:ascii="Calibri" w:hAnsi="Calibri" w:cs="Arial"/>
          <w:rtl/>
          <w:sz w:val="24"/>
          <w:szCs w:val="24"/>
        </w:rPr>
        <w:t xml:space="preserve">EMS.GR.PRO.14.01. إجراء استلام مواد GRS/RCS وفصلها وتوازن الكتلة</w:t>
      </w:r>
    </w:p>
    <w:p>
      <w:pPr>
        <w:pStyle w:val="ListeParagraf"/>
        <w:numPr>
          <w:ilvl w:val="0"/>
          <w:numId w:val="1"/>
        </w:numPr>
        <w:bidi/>
        <w:spacing w:after="60"/>
        <w:jc w:val="both"/>
      </w:pPr>
      <w:r>
        <w:rPr>
          <w:rFonts w:ascii="Calibri" w:hAnsi="Calibri" w:cs="Arial"/>
          <w:rtl/>
          <w:sz w:val="24"/>
          <w:szCs w:val="24"/>
        </w:rPr>
        <w:t xml:space="preserve">EMS.KM.PRO.20.05. إجراء تخزين الكيماويات ومناولتها</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EMS.İD.PRO.03.02. إجراء دخول وخروج الزوار ومركبات المقاولين من الباطن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المخازن والخدمات اللوجستية. وتُقيّم نتائج الجرد ونتائج التدقيق وملاحظات الإنتاج وضمان الجودة، ويُعدل الإجراء عند الحاجة. وتُحفظ السجلات لمدة ثلاث سنوات.</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Depo Müdürü  ..........................    Kalite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MATERIAL RECEIVING AND STORAGE PROCEDURE</w:t>
          </w:r>
        </w:p>
        <w:p>
          <w:pPr>
            <w:pStyle w:val="GvdeMetni2"/>
            <w:bidi/>
            <w:spacing w:line="276" w:lineRule="auto"/>
            <w:jc w:val="center"/>
          </w:pPr>
          <w:r>
            <w:rPr>
              <w:rFonts w:asciiTheme="minorHAnsi" w:hAnsiTheme="minorHAnsi" w:cs="Arial"/>
              <w:b/>
              <w:bCs/>
              <w:color w:val="000000" w:themeColor="text1"/>
              <w:sz w:val="22"/>
              <w:szCs w:val="22"/>
              <w:rtl/>
            </w:rPr>
            <w:t>إجراء استلام المواد وتخزينها</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EMS.DP.PRO.08.01.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EMS.DP.PRO.08.01. MATERIAL RECEIVING AND STORAGE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