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jc w:val="both"/>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The area where grey fabric is inspected and held after knitting before going to the dyehouse.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Organic Grey Fabric Holding Area and to every person who works in it or brings material to it, for all orders produced under GOTS or OCS.</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Supervisor:</w:t>
      </w:r>
      <w:r>
        <w:rPr>
          <w:rFonts w:ascii="Calibri" w:hAnsi="Calibri" w:cs="Arial"/>
          <w:sz w:val="24"/>
          <w:szCs w:val="24"/>
        </w:rPr>
        <w:t xml:space="preserve"> Keeps the area marked and in order, makes sure this instruction and its records are applied, and reports every problem to the OCS Coordinator.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Approves the set-up of the area, checks the records and follows up findings and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area during in-line and final inspections and in the internal audit.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Handlers:</w:t>
      </w:r>
      <w:r>
        <w:rPr>
          <w:rFonts w:ascii="Calibri" w:hAnsi="Calibri" w:cs="Arial"/>
          <w:sz w:val="24"/>
          <w:szCs w:val="24"/>
        </w:rPr>
        <w:t xml:space="preserve"> Work as instructed, keep organic and conventional material apart and report any doubt at once.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Organic area:</w:t>
      </w:r>
      <w:r>
        <w:rPr>
          <w:rFonts w:ascii="Calibri" w:hAnsi="Calibri" w:cs="Arial"/>
          <w:sz w:val="24"/>
          <w:szCs w:val="24"/>
        </w:rPr>
        <w:t xml:space="preserve"> A physically separated and clearly marked area used only for GOTS or OCS organic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Green label:</w:t>
      </w:r>
      <w:r>
        <w:rPr>
          <w:rFonts w:ascii="Calibri" w:hAnsi="Calibri" w:cs="Arial"/>
          <w:sz w:val="24"/>
          <w:szCs w:val="24"/>
        </w:rPr>
        <w:t xml:space="preserve"> The internal label with order, lot and TC number carried by organic material in this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Conventional material:</w:t>
      </w:r>
      <w:r>
        <w:rPr>
          <w:rFonts w:ascii="Calibri" w:hAnsi="Calibri" w:cs="Arial"/>
          <w:sz w:val="24"/>
          <w:szCs w:val="24"/>
        </w:rPr>
        <w:t xml:space="preserve"> Any material that is not certified organic. It never enters this area.</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INSTRUCTIONS</w:t>
      </w:r>
    </w:p>
    <w:p>
      <w:pPr>
        <w:pStyle w:val="ListeParagraf"/>
        <w:spacing w:before="120" w:after="60"/>
        <w:ind w:left="709" w:right="0"/>
        <w:jc w:val="both"/>
      </w:pPr>
      <w:r>
        <w:rPr>
          <w:rFonts w:ascii="Calibri" w:hAnsi="Calibri" w:cs="Arial"/>
          <w:b/>
          <w:bCs/>
          <w:sz w:val="24"/>
          <w:szCs w:val="24"/>
        </w:rPr>
        <w:t xml:space="preserve">1. AREA RULES</w:t>
      </w:r>
    </w:p>
    <w:p>
      <w:pPr>
        <w:pStyle w:val="ListeParagraf"/>
        <w:spacing w:after="80"/>
        <w:ind w:left="709" w:right="0"/>
        <w:jc w:val="both"/>
      </w:pPr>
      <w:r>
        <w:rPr>
          <w:rFonts w:ascii="Calibri" w:hAnsi="Calibri" w:cs="Arial"/>
          <w:sz w:val="24"/>
          <w:szCs w:val="24"/>
        </w:rPr>
        <w:t xml:space="preserve">1.1. Grey fabric is stacked here by lot.</w:t>
      </w:r>
    </w:p>
    <w:p>
      <w:pPr>
        <w:pStyle w:val="ListeParagraf"/>
        <w:spacing w:after="80"/>
        <w:ind w:left="709" w:right="0"/>
        <w:jc w:val="both"/>
      </w:pPr>
      <w:r>
        <w:rPr>
          <w:rFonts w:ascii="Calibri" w:hAnsi="Calibri" w:cs="Arial"/>
          <w:sz w:val="24"/>
          <w:szCs w:val="24"/>
        </w:rPr>
        <w:t xml:space="preserve">1.2. Mixing is prevented; no conventional rolls enter this area.</w:t>
      </w:r>
    </w:p>
    <w:p>
      <w:pPr>
        <w:pStyle w:val="ListeParagraf"/>
        <w:spacing w:after="80"/>
        <w:ind w:left="709" w:right="0"/>
        <w:jc w:val="both"/>
      </w:pPr>
      <w:r>
        <w:rPr>
          <w:rFonts w:ascii="Calibri" w:hAnsi="Calibri" w:cs="Arial"/>
          <w:sz w:val="24"/>
          <w:szCs w:val="24"/>
        </w:rPr>
        <w:t xml:space="preserve">1.3. The area is marked and traceable; yellow 'holding' tags are used.</w:t>
      </w:r>
    </w:p>
    <w:p>
      <w:pPr>
        <w:pStyle w:val="ListeParagraf"/>
        <w:spacing w:after="80"/>
        <w:ind w:left="709" w:right="0"/>
        <w:jc w:val="both"/>
      </w:pPr>
      <w:r>
        <w:rPr>
          <w:rFonts w:ascii="Calibri" w:hAnsi="Calibri" w:cs="Arial"/>
          <w:sz w:val="24"/>
          <w:szCs w:val="24"/>
        </w:rPr>
        <w:t xml:space="preserve">1.4. Grey fabric is not released to dyeing before the 4-point inspection.</w:t>
      </w:r>
    </w:p>
    <w:p>
      <w:pPr>
        <w:pStyle w:val="ListeParagraf"/>
        <w:spacing w:before="120" w:after="60"/>
        <w:ind w:left="709" w:right="0"/>
        <w:jc w:val="both"/>
      </w:pPr>
      <w:r>
        <w:rPr>
          <w:rFonts w:ascii="Calibri" w:hAnsi="Calibri" w:cs="Arial"/>
          <w:b/>
          <w:bCs/>
          <w:sz w:val="24"/>
          <w:szCs w:val="24"/>
        </w:rPr>
        <w:t xml:space="preserve">2. WORKFLOW</w:t>
      </w:r>
    </w:p>
    <w:p>
      <w:pPr>
        <w:pStyle w:val="ListeParagraf"/>
        <w:spacing w:after="80"/>
        <w:ind w:left="709" w:right="0"/>
        <w:jc w:val="both"/>
      </w:pPr>
      <w:r>
        <w:rPr>
          <w:rFonts w:ascii="Calibri" w:hAnsi="Calibri" w:cs="Arial"/>
          <w:sz w:val="24"/>
          <w:szCs w:val="24"/>
        </w:rPr>
        <w:t xml:space="preserve">2.1. Rolls arrive from knitting</w:t>
      </w:r>
    </w:p>
    <w:p>
      <w:pPr>
        <w:pStyle w:val="ListeParagraf"/>
        <w:spacing w:after="80"/>
        <w:ind w:left="709" w:right="0"/>
        <w:jc w:val="both"/>
      </w:pPr>
      <w:r>
        <w:rPr>
          <w:rFonts w:ascii="Calibri" w:hAnsi="Calibri" w:cs="Arial"/>
          <w:sz w:val="24"/>
          <w:szCs w:val="24"/>
        </w:rPr>
        <w:t xml:space="preserve">2.2. Grey fabric inspection (4-point)</w:t>
      </w:r>
    </w:p>
    <w:p>
      <w:pPr>
        <w:pStyle w:val="ListeParagraf"/>
        <w:spacing w:after="80"/>
        <w:ind w:left="709" w:right="0"/>
        <w:jc w:val="both"/>
      </w:pPr>
      <w:r>
        <w:rPr>
          <w:rFonts w:ascii="Calibri" w:hAnsi="Calibri" w:cs="Arial"/>
          <w:sz w:val="24"/>
          <w:szCs w:val="24"/>
        </w:rPr>
        <w:t xml:space="preserve">2.3. Conforming rolls held with green tags</w:t>
      </w:r>
    </w:p>
    <w:p>
      <w:pPr>
        <w:pStyle w:val="ListeParagraf"/>
        <w:spacing w:after="80"/>
        <w:ind w:left="709" w:right="0"/>
        <w:jc w:val="both"/>
      </w:pPr>
      <w:r>
        <w:rPr>
          <w:rFonts w:ascii="Calibri" w:hAnsi="Calibri" w:cs="Arial"/>
          <w:sz w:val="24"/>
          <w:szCs w:val="24"/>
        </w:rPr>
        <w:t xml:space="preserve">2.4. Non-conforming rolls moved to the red area</w:t>
      </w:r>
    </w:p>
    <w:p>
      <w:pPr>
        <w:pStyle w:val="ListeParagraf"/>
        <w:spacing w:after="80"/>
        <w:ind w:left="709" w:right="0"/>
        <w:jc w:val="both"/>
      </w:pPr>
      <w:r>
        <w:rPr>
          <w:rFonts w:ascii="Calibri" w:hAnsi="Calibri" w:cs="Arial"/>
          <w:sz w:val="24"/>
          <w:szCs w:val="24"/>
        </w:rPr>
        <w:t xml:space="preserve">2.5. Released to the dyehouse per the dye plan</w:t>
      </w:r>
    </w:p>
    <w:p>
      <w:pPr>
        <w:pStyle w:val="ListeParagraf"/>
        <w:spacing w:before="120" w:after="60"/>
        <w:ind w:left="709" w:right="0"/>
        <w:jc w:val="both"/>
      </w:pPr>
      <w:r>
        <w:rPr>
          <w:rFonts w:ascii="Calibri" w:hAnsi="Calibri" w:cs="Arial"/>
          <w:b/>
          <w:bCs/>
          <w:sz w:val="24"/>
          <w:szCs w:val="24"/>
        </w:rPr>
        <w:t xml:space="preserve">3. CHECKS BEFORE AND DURING WORK</w:t>
      </w:r>
    </w:p>
    <w:p>
      <w:pPr>
        <w:pStyle w:val="ListeParagraf"/>
        <w:spacing w:after="80"/>
        <w:ind w:left="709" w:right="0"/>
        <w:jc w:val="both"/>
      </w:pPr>
      <w:r>
        <w:rPr>
          <w:rFonts w:ascii="Calibri" w:hAnsi="Calibri" w:cs="Arial"/>
          <w:sz w:val="24"/>
          <w:szCs w:val="24"/>
        </w:rPr>
        <w:t xml:space="preserve">3.1. Does every roll carry lot and ORGANIC tags?</w:t>
      </w:r>
    </w:p>
    <w:p>
      <w:pPr>
        <w:pStyle w:val="ListeParagraf"/>
        <w:spacing w:after="80"/>
        <w:ind w:left="709" w:right="0"/>
        <w:jc w:val="both"/>
      </w:pPr>
      <w:r>
        <w:rPr>
          <w:rFonts w:ascii="Calibri" w:hAnsi="Calibri" w:cs="Arial"/>
          <w:sz w:val="24"/>
          <w:szCs w:val="24"/>
        </w:rPr>
        <w:t xml:space="preserve">3.2. Is there an inspection record?</w:t>
      </w:r>
    </w:p>
    <w:p>
      <w:pPr>
        <w:pStyle w:val="ListeParagraf"/>
        <w:spacing w:after="80"/>
        <w:ind w:left="709" w:right="0"/>
        <w:jc w:val="both"/>
      </w:pPr>
      <w:r>
        <w:rPr>
          <w:rFonts w:ascii="Calibri" w:hAnsi="Calibri" w:cs="Arial"/>
          <w:sz w:val="24"/>
          <w:szCs w:val="24"/>
        </w:rPr>
        <w:t xml:space="preserve">3.3. No conventional rolls in the area?</w:t>
      </w:r>
    </w:p>
    <w:p>
      <w:pPr>
        <w:pStyle w:val="ListeParagraf"/>
        <w:spacing w:after="80"/>
        <w:ind w:left="709" w:right="0"/>
        <w:jc w:val="both"/>
      </w:pPr>
      <w:r>
        <w:rPr>
          <w:rFonts w:ascii="Calibri" w:hAnsi="Calibri" w:cs="Arial"/>
          <w:sz w:val="24"/>
          <w:szCs w:val="24"/>
        </w:rPr>
        <w:t xml:space="preserve">3.4. Is non-conforming fabric separated and marked?</w:t>
      </w:r>
    </w:p>
    <w:p>
      <w:pPr>
        <w:pStyle w:val="ListeParagraf"/>
        <w:spacing w:before="120" w:after="60"/>
        <w:ind w:left="709" w:right="0"/>
        <w:jc w:val="both"/>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mix organic and conventional material in this area, or on the same pallet, trolley, table or carton.</w:t>
      </w:r>
    </w:p>
    <w:p>
      <w:pPr>
        <w:pStyle w:val="ListeParagraf"/>
        <w:numPr>
          <w:ilvl w:val="0"/>
          <w:numId w:val="1"/>
        </w:numPr>
        <w:spacing w:after="60"/>
        <w:jc w:val="both"/>
      </w:pPr>
      <w:r>
        <w:rPr>
          <w:rFonts w:ascii="Calibri" w:hAnsi="Calibri" w:cs="Arial"/>
          <w:sz w:val="24"/>
          <w:szCs w:val="24"/>
        </w:rPr>
        <w:t xml:space="preserve">Do not bring unlabelled or doubtful material into the area.</w:t>
      </w:r>
    </w:p>
    <w:p>
      <w:pPr>
        <w:pStyle w:val="ListeParagraf"/>
        <w:numPr>
          <w:ilvl w:val="0"/>
          <w:numId w:val="1"/>
        </w:numPr>
        <w:spacing w:after="60"/>
        <w:jc w:val="both"/>
      </w:pPr>
      <w:r>
        <w:rPr>
          <w:rFonts w:ascii="Calibri" w:hAnsi="Calibri" w:cs="Arial"/>
          <w:sz w:val="24"/>
          <w:szCs w:val="24"/>
        </w:rPr>
        <w:t xml:space="preserve">Do not remove, cover or change the area signs or the green labels.</w:t>
      </w:r>
    </w:p>
    <w:p>
      <w:pPr>
        <w:pStyle w:val="ListeParagraf"/>
        <w:spacing w:before="120" w:after="60"/>
        <w:ind w:left="709" w:right="0"/>
        <w:jc w:val="both"/>
      </w:pPr>
      <w:r>
        <w:rPr>
          <w:rFonts w:ascii="Calibri" w:hAnsi="Calibri" w:cs="Arial"/>
          <w:b/>
          <w:bCs/>
          <w:sz w:val="24"/>
          <w:szCs w:val="24"/>
        </w:rPr>
        <w:t xml:space="preserve">5. IN CASE OF PROBLEM</w:t>
      </w:r>
    </w:p>
    <w:p>
      <w:pPr>
        <w:pStyle w:val="ListeParagraf"/>
        <w:spacing w:after="80"/>
        <w:ind w:left="709" w:right="0"/>
        <w:jc w:val="both"/>
      </w:pPr>
      <w:r>
        <w:rPr>
          <w:rFonts w:ascii="Calibri" w:hAnsi="Calibri" w:cs="Arial"/>
          <w:sz w:val="24"/>
          <w:szCs w:val="24"/>
        </w:rPr>
        <w:t xml:space="preserve">5.1. If organic and conventional material are mixed, or the status of a material is doubtful, stop work, move the material to the yellow holding area and inform the OCS Coordinator immediately.</w:t>
      </w:r>
    </w:p>
    <w:p>
      <w:pPr>
        <w:pStyle w:val="ListeParagraf"/>
        <w:spacing w:after="80"/>
        <w:ind w:left="709" w:right="0"/>
        <w:jc w:val="both"/>
      </w:pPr>
      <w:r>
        <w:rPr>
          <w:rFonts w:ascii="Calibri" w:hAnsi="Calibri" w:cs="Arial"/>
          <w:sz w:val="24"/>
          <w:szCs w:val="24"/>
        </w:rPr>
        <w:t xml:space="preserve">5.2. Record the case on the Organic Nonconforming Product and Hold Notice (EMS.OR.FRM.21.23). Nonconforming product goes to the red blocked area and is never sold as organic.</w:t>
      </w:r>
    </w:p>
    <w:p>
      <w:pPr>
        <w:pStyle w:val="ListeParagraf"/>
        <w:spacing w:before="120" w:after="60"/>
        <w:ind w:left="709" w:right="0"/>
        <w:jc w:val="both"/>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EMS.OR.TL.21.01. Organic Product Identification and Labelling Instruction</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EMS.OR.FRM.21.11. Organic Grey Fabric Holding and Inspection Record</w:t>
      </w:r>
    </w:p>
    <w:p>
      <w:pPr>
        <w:pStyle w:val="ListeParagraf"/>
        <w:numPr>
          <w:ilvl w:val="0"/>
          <w:numId w:val="1"/>
        </w:numPr>
        <w:spacing w:after="60"/>
        <w:jc w:val="both"/>
      </w:pPr>
      <w:r>
        <w:rPr>
          <w:rFonts w:ascii="Calibri" w:hAnsi="Calibri" w:cs="Arial"/>
          <w:sz w:val="24"/>
          <w:szCs w:val="24"/>
        </w:rPr>
        <w:t xml:space="preserve">EMS.OR.FRM.21.02. Organic Lot Traceability Register</w:t>
      </w:r>
    </w:p>
    <w:p>
      <w:pPr>
        <w:pStyle w:val="ListeParagraf"/>
        <w:numPr>
          <w:ilvl w:val="0"/>
          <w:numId w:val="1"/>
        </w:numPr>
        <w:spacing w:after="60"/>
        <w:jc w:val="both"/>
      </w:pPr>
      <w:r>
        <w:rPr>
          <w:rFonts w:ascii="Calibri" w:hAnsi="Calibri" w:cs="Arial"/>
          <w:sz w:val="24"/>
          <w:szCs w:val="24"/>
        </w:rPr>
        <w:t xml:space="preserve">EMS.OR.FRM.21.23. Organic Nonconforming Product and Hold Notice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Quality Assurance Supervisor checks the application of this instruction for every lot and the OCS Coordinator reviews the records every month. The instruction is reviewed at least once a year and whenever the GOTS or OCS standard, customer requirements or the area layout change.</w:t>
      </w:r>
    </w:p>
    <w:p>
      <w:r>
        <w:br w:type="page"/>
      </w:r>
    </w:p>
    <w:p>
      <w:pPr>
        <w:pStyle w:val="ListeParagraf"/>
        <w:bidi/>
        <w:spacing w:before="120" w:after="60"/>
        <w:ind w:left="0" w:right="709"/>
        <w:jc w:val="both"/>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المنطقة اللي بيتفحص فيها القماش الخام وبيتحفظ بعد التريكو قبل المصبغة.</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التعليمات دي بتتطبق على منطقة انتظار القماش الخام العضوي وعلى كل شخص بيشتغل فيها أو بيدخّل لها مواد، في كل الأوردرات اللي بتتنتج حسب GOTS أو OCS.</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ضمان الجودة:</w:t>
      </w:r>
      <w:r>
        <w:rPr>
          <w:rFonts w:ascii="Calibri" w:hAnsi="Calibri" w:cs="Arial"/>
          <w:rtl/>
          <w:sz w:val="24"/>
          <w:szCs w:val="24"/>
        </w:rPr>
        <w:t xml:space="preserve"> بيحافظ على علامات المنطقة وترتيبها، وبيتأكد إن التعليمات دي وسجلاتها متطبقة، وبيبلّغ منسق OCS بأي مشكلة.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بيعتمد تجهيز المنطقة، وبيراجع السجلات، وبيتابع الملاحظات والإجراءات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بيفحص المنطقة أثناء الفحص على الخط والفحص النهائي وفي 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والعمال:</w:t>
      </w:r>
      <w:r>
        <w:rPr>
          <w:rFonts w:ascii="Calibri" w:hAnsi="Calibri" w:cs="Arial"/>
          <w:rtl/>
          <w:sz w:val="24"/>
          <w:szCs w:val="24"/>
        </w:rPr>
        <w:t xml:space="preserve"> بيشتغلوا حسب التعليمات، وبيفصلوا المواد العضوية عن التقليدية، وبيبلّغوا فوراً عن أي شك.</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العضوية:</w:t>
      </w:r>
      <w:r>
        <w:rPr>
          <w:rFonts w:ascii="Calibri" w:hAnsi="Calibri" w:cs="Arial"/>
          <w:rtl/>
          <w:sz w:val="24"/>
          <w:szCs w:val="24"/>
        </w:rPr>
        <w:t xml:space="preserve"> منطقة مفصولة فعلياً ومعلّمة بوضوح، بتُستخدم للمواد العضوية GOTS أو OCS بس.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الملصق الأخضر:</w:t>
      </w:r>
      <w:r>
        <w:rPr>
          <w:rFonts w:ascii="Calibri" w:hAnsi="Calibri" w:cs="Arial"/>
          <w:rtl/>
          <w:sz w:val="24"/>
          <w:szCs w:val="24"/>
        </w:rPr>
        <w:t xml:space="preserve"> ملصق التمييز الداخلي اللي عليه رقم الأوردر والدفعة وشهادة TC، وبتشيله المواد العضوية في المنطقة دي.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التقليدية:</w:t>
      </w:r>
      <w:r>
        <w:rPr>
          <w:rFonts w:ascii="Calibri" w:hAnsi="Calibri" w:cs="Arial"/>
          <w:rtl/>
          <w:sz w:val="24"/>
          <w:szCs w:val="24"/>
        </w:rPr>
        <w:t xml:space="preserve"> أي مادة مش معتمدة عضوية. وما بتدخلش المنطقة دي أبداً.</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التعليمات</w:t>
      </w:r>
    </w:p>
    <w:p>
      <w:pPr>
        <w:pStyle w:val="ListeParagraf"/>
        <w:bidi/>
        <w:spacing w:before="120" w:after="60"/>
        <w:ind w:left="0" w:right="709"/>
        <w:jc w:val="both"/>
      </w:pPr>
      <w:r>
        <w:rPr>
          <w:rFonts w:ascii="Calibri" w:hAnsi="Calibri" w:cs="Arial"/>
          <w:b/>
          <w:bCs/>
          <w:rtl/>
          <w:sz w:val="24"/>
          <w:szCs w:val="24"/>
        </w:rPr>
        <w:t xml:space="preserve">1. قواعد المنطقة</w:t>
      </w:r>
    </w:p>
    <w:p>
      <w:pPr>
        <w:pStyle w:val="ListeParagraf"/>
        <w:bidi/>
        <w:spacing w:after="80"/>
        <w:ind w:left="0" w:right="709"/>
        <w:jc w:val="both"/>
      </w:pPr>
      <w:r>
        <w:rPr>
          <w:rFonts w:ascii="Calibri" w:hAnsi="Calibri" w:cs="Arial"/>
          <w:rtl/>
          <w:sz w:val="24"/>
          <w:szCs w:val="24"/>
        </w:rPr>
        <w:t xml:space="preserve">1.1. القماش الخام بيتكدّس هنا حسب الدفعة.</w:t>
      </w:r>
    </w:p>
    <w:p>
      <w:pPr>
        <w:pStyle w:val="ListeParagraf"/>
        <w:bidi/>
        <w:spacing w:after="80"/>
        <w:ind w:left="0" w:right="709"/>
        <w:jc w:val="both"/>
      </w:pPr>
      <w:r>
        <w:rPr>
          <w:rFonts w:ascii="Calibri" w:hAnsi="Calibri" w:cs="Arial"/>
          <w:rtl/>
          <w:sz w:val="24"/>
          <w:szCs w:val="24"/>
        </w:rPr>
        <w:t xml:space="preserve">1.2. ممنوع الاختلاط والرولات التقليدية ما تدخلش.</w:t>
      </w:r>
    </w:p>
    <w:p>
      <w:pPr>
        <w:pStyle w:val="ListeParagraf"/>
        <w:bidi/>
        <w:spacing w:after="80"/>
        <w:ind w:left="0" w:right="709"/>
        <w:jc w:val="both"/>
      </w:pPr>
      <w:r>
        <w:rPr>
          <w:rFonts w:ascii="Calibri" w:hAnsi="Calibri" w:cs="Arial"/>
          <w:rtl/>
          <w:sz w:val="24"/>
          <w:szCs w:val="24"/>
        </w:rPr>
        <w:t xml:space="preserve">1.3. المنطقة معلّمة وبتتتبع وبنستخدم بطاقات 'انتظار' صفرا.</w:t>
      </w:r>
    </w:p>
    <w:p>
      <w:pPr>
        <w:pStyle w:val="ListeParagraf"/>
        <w:bidi/>
        <w:spacing w:after="80"/>
        <w:ind w:left="0" w:right="709"/>
        <w:jc w:val="both"/>
      </w:pPr>
      <w:r>
        <w:rPr>
          <w:rFonts w:ascii="Calibri" w:hAnsi="Calibri" w:cs="Arial"/>
          <w:rtl/>
          <w:sz w:val="24"/>
          <w:szCs w:val="24"/>
        </w:rPr>
        <w:t xml:space="preserve">1.4. القماش الخام ما بيتسلمش للصباغة قبل فحص الأربع نقاط.</w:t>
      </w:r>
    </w:p>
    <w:p>
      <w:pPr>
        <w:pStyle w:val="ListeParagraf"/>
        <w:bidi/>
        <w:spacing w:before="120" w:after="60"/>
        <w:ind w:left="0" w:right="709"/>
        <w:jc w:val="both"/>
      </w:pPr>
      <w:r>
        <w:rPr>
          <w:rFonts w:ascii="Calibri" w:hAnsi="Calibri" w:cs="Arial"/>
          <w:b/>
          <w:bCs/>
          <w:rtl/>
          <w:sz w:val="24"/>
          <w:szCs w:val="24"/>
        </w:rPr>
        <w:t xml:space="preserve">2. تسلسل العمل</w:t>
      </w:r>
    </w:p>
    <w:p>
      <w:pPr>
        <w:pStyle w:val="ListeParagraf"/>
        <w:bidi/>
        <w:spacing w:after="80"/>
        <w:ind w:left="0" w:right="709"/>
        <w:jc w:val="both"/>
      </w:pPr>
      <w:r>
        <w:rPr>
          <w:rFonts w:ascii="Calibri" w:hAnsi="Calibri" w:cs="Arial"/>
          <w:rtl/>
          <w:sz w:val="24"/>
          <w:szCs w:val="24"/>
        </w:rPr>
        <w:t xml:space="preserve">2.1. وصول الرولات من التريكو</w:t>
      </w:r>
    </w:p>
    <w:p>
      <w:pPr>
        <w:pStyle w:val="ListeParagraf"/>
        <w:bidi/>
        <w:spacing w:after="80"/>
        <w:ind w:left="0" w:right="709"/>
        <w:jc w:val="both"/>
      </w:pPr>
      <w:r>
        <w:rPr>
          <w:rFonts w:ascii="Calibri" w:hAnsi="Calibri" w:cs="Arial"/>
          <w:rtl/>
          <w:sz w:val="24"/>
          <w:szCs w:val="24"/>
        </w:rPr>
        <w:t xml:space="preserve">2.2. فحص القماش الخام (4 نقاط)</w:t>
      </w:r>
    </w:p>
    <w:p>
      <w:pPr>
        <w:pStyle w:val="ListeParagraf"/>
        <w:bidi/>
        <w:spacing w:after="80"/>
        <w:ind w:left="0" w:right="709"/>
        <w:jc w:val="both"/>
      </w:pPr>
      <w:r>
        <w:rPr>
          <w:rFonts w:ascii="Calibri" w:hAnsi="Calibri" w:cs="Arial"/>
          <w:rtl/>
          <w:sz w:val="24"/>
          <w:szCs w:val="24"/>
        </w:rPr>
        <w:t xml:space="preserve">2.3. الرولات المطابقة بتتحفظ ببطاقات خضرا</w:t>
      </w:r>
    </w:p>
    <w:p>
      <w:pPr>
        <w:pStyle w:val="ListeParagraf"/>
        <w:bidi/>
        <w:spacing w:after="80"/>
        <w:ind w:left="0" w:right="709"/>
        <w:jc w:val="both"/>
      </w:pPr>
      <w:r>
        <w:rPr>
          <w:rFonts w:ascii="Calibri" w:hAnsi="Calibri" w:cs="Arial"/>
          <w:rtl/>
          <w:sz w:val="24"/>
          <w:szCs w:val="24"/>
        </w:rPr>
        <w:t xml:space="preserve">2.4. الرولات غير المطابقة بتتعزل في المنطقة الحمرا</w:t>
      </w:r>
    </w:p>
    <w:p>
      <w:pPr>
        <w:pStyle w:val="ListeParagraf"/>
        <w:bidi/>
        <w:spacing w:after="80"/>
        <w:ind w:left="0" w:right="709"/>
        <w:jc w:val="both"/>
      </w:pPr>
      <w:r>
        <w:rPr>
          <w:rFonts w:ascii="Calibri" w:hAnsi="Calibri" w:cs="Arial"/>
          <w:rtl/>
          <w:sz w:val="24"/>
          <w:szCs w:val="24"/>
        </w:rPr>
        <w:t xml:space="preserve">2.5. الإرسال للمصبغة حسب خطة الصباغة</w:t>
      </w:r>
    </w:p>
    <w:p>
      <w:pPr>
        <w:pStyle w:val="ListeParagraf"/>
        <w:bidi/>
        <w:spacing w:before="120" w:after="60"/>
        <w:ind w:left="0" w:right="709"/>
        <w:jc w:val="both"/>
      </w:pPr>
      <w:r>
        <w:rPr>
          <w:rFonts w:ascii="Calibri" w:hAnsi="Calibri" w:cs="Arial"/>
          <w:b/>
          <w:bCs/>
          <w:rtl/>
          <w:sz w:val="24"/>
          <w:szCs w:val="24"/>
        </w:rPr>
        <w:t xml:space="preserve">3. الفحوصات قبل العمل وأثناءه</w:t>
      </w:r>
    </w:p>
    <w:p>
      <w:pPr>
        <w:pStyle w:val="ListeParagraf"/>
        <w:bidi/>
        <w:spacing w:after="80"/>
        <w:ind w:left="0" w:right="709"/>
        <w:jc w:val="both"/>
      </w:pPr>
      <w:r>
        <w:rPr>
          <w:rFonts w:ascii="Calibri" w:hAnsi="Calibri" w:cs="Arial"/>
          <w:rtl/>
          <w:sz w:val="24"/>
          <w:szCs w:val="24"/>
        </w:rPr>
        <w:t xml:space="preserve">3.1. كل رول عليه بطاقة الدفعة وعضوي؟</w:t>
      </w:r>
    </w:p>
    <w:p>
      <w:pPr>
        <w:pStyle w:val="ListeParagraf"/>
        <w:bidi/>
        <w:spacing w:after="80"/>
        <w:ind w:left="0" w:right="709"/>
        <w:jc w:val="both"/>
      </w:pPr>
      <w:r>
        <w:rPr>
          <w:rFonts w:ascii="Calibri" w:hAnsi="Calibri" w:cs="Arial"/>
          <w:rtl/>
          <w:sz w:val="24"/>
          <w:szCs w:val="24"/>
        </w:rPr>
        <w:t xml:space="preserve">3.2. فيه سجل فحص؟</w:t>
      </w:r>
    </w:p>
    <w:p>
      <w:pPr>
        <w:pStyle w:val="ListeParagraf"/>
        <w:bidi/>
        <w:spacing w:after="80"/>
        <w:ind w:left="0" w:right="709"/>
        <w:jc w:val="both"/>
      </w:pPr>
      <w:r>
        <w:rPr>
          <w:rFonts w:ascii="Calibri" w:hAnsi="Calibri" w:cs="Arial"/>
          <w:rtl/>
          <w:sz w:val="24"/>
          <w:szCs w:val="24"/>
        </w:rPr>
        <w:t xml:space="preserve">3.3. مفيش رولات تقليدية في المنطقة؟</w:t>
      </w:r>
    </w:p>
    <w:p>
      <w:pPr>
        <w:pStyle w:val="ListeParagraf"/>
        <w:bidi/>
        <w:spacing w:after="80"/>
        <w:ind w:left="0" w:right="709"/>
        <w:jc w:val="both"/>
      </w:pPr>
      <w:r>
        <w:rPr>
          <w:rFonts w:ascii="Calibri" w:hAnsi="Calibri" w:cs="Arial"/>
          <w:rtl/>
          <w:sz w:val="24"/>
          <w:szCs w:val="24"/>
        </w:rPr>
        <w:t xml:space="preserve">3.4. القماش غير المطابق معزول ومعلّم؟</w:t>
      </w:r>
    </w:p>
    <w:p>
      <w:pPr>
        <w:pStyle w:val="ListeParagraf"/>
        <w:bidi/>
        <w:spacing w:before="120" w:after="60"/>
        <w:ind w:left="0" w:right="709"/>
        <w:jc w:val="both"/>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تخلط المواد العضوية والتقليدية في المنطقة دي، ولا على نفس البالتة أو العربية أو الترابيزة أو الكرتونة.</w:t>
      </w:r>
    </w:p>
    <w:p>
      <w:pPr>
        <w:pStyle w:val="ListeParagraf"/>
        <w:numPr>
          <w:ilvl w:val="0"/>
          <w:numId w:val="1"/>
        </w:numPr>
        <w:bidi/>
        <w:spacing w:after="60"/>
        <w:jc w:val="both"/>
      </w:pPr>
      <w:r>
        <w:rPr>
          <w:rFonts w:ascii="Calibri" w:hAnsi="Calibri" w:cs="Arial"/>
          <w:rtl/>
          <w:sz w:val="24"/>
          <w:szCs w:val="24"/>
        </w:rPr>
        <w:t xml:space="preserve">لا تدخّل مادة من غير ملصق أو مشكوك في حالتها للمنطقة.</w:t>
      </w:r>
    </w:p>
    <w:p>
      <w:pPr>
        <w:pStyle w:val="ListeParagraf"/>
        <w:numPr>
          <w:ilvl w:val="0"/>
          <w:numId w:val="1"/>
        </w:numPr>
        <w:bidi/>
        <w:spacing w:after="60"/>
        <w:jc w:val="both"/>
      </w:pPr>
      <w:r>
        <w:rPr>
          <w:rFonts w:ascii="Calibri" w:hAnsi="Calibri" w:cs="Arial"/>
          <w:rtl/>
          <w:sz w:val="24"/>
          <w:szCs w:val="24"/>
        </w:rPr>
        <w:t xml:space="preserve">لا تشيل ولا تغطّي ولا تغيّر لافتات المنطقة أو الملصقات الخضراء.</w:t>
      </w:r>
    </w:p>
    <w:p>
      <w:pPr>
        <w:pStyle w:val="ListeParagraf"/>
        <w:bidi/>
        <w:spacing w:before="120" w:after="60"/>
        <w:ind w:left="0" w:right="709"/>
        <w:jc w:val="both"/>
      </w:pPr>
      <w:r>
        <w:rPr>
          <w:rFonts w:ascii="Calibri" w:hAnsi="Calibri" w:cs="Arial"/>
          <w:b/>
          <w:bCs/>
          <w:rtl/>
          <w:sz w:val="24"/>
          <w:szCs w:val="24"/>
        </w:rPr>
        <w:t xml:space="preserve">5. في حالة وجود مشكلة</w:t>
      </w:r>
    </w:p>
    <w:p>
      <w:pPr>
        <w:pStyle w:val="ListeParagraf"/>
        <w:bidi/>
        <w:spacing w:after="80"/>
        <w:ind w:left="0" w:right="709"/>
        <w:jc w:val="both"/>
      </w:pPr>
      <w:r>
        <w:rPr>
          <w:rFonts w:ascii="Calibri" w:hAnsi="Calibri" w:cs="Arial"/>
          <w:rtl/>
          <w:sz w:val="24"/>
          <w:szCs w:val="24"/>
        </w:rPr>
        <w:t xml:space="preserve">5.1. لو المواد العضوية والتقليدية اتخلطت، أو حالة مادة مشكوك فيها، وقّف الشغل، وانقل المادة لمنطقة الانتظار الصفراء، وبلّغ منسق OCS فوراً.</w:t>
      </w:r>
    </w:p>
    <w:p>
      <w:pPr>
        <w:pStyle w:val="ListeParagraf"/>
        <w:bidi/>
        <w:spacing w:after="80"/>
        <w:ind w:left="0" w:right="709"/>
        <w:jc w:val="both"/>
      </w:pPr>
      <w:r>
        <w:rPr>
          <w:rFonts w:ascii="Calibri" w:hAnsi="Calibri" w:cs="Arial"/>
          <w:rtl/>
          <w:sz w:val="24"/>
          <w:szCs w:val="24"/>
        </w:rPr>
        <w:t xml:space="preserve">5.2. سجّل الحالة في نموذج إشعار المنتج العضوي غير المطابق والحجز (EMS.OR.FRM.21.23). المنتج غير المطابق بيروح لمنطقة الحجز الحمراء وما بيتباعش على إنه عضوي أبداً.</w:t>
      </w:r>
    </w:p>
    <w:p>
      <w:pPr>
        <w:pStyle w:val="ListeParagraf"/>
        <w:bidi/>
        <w:spacing w:before="120" w:after="60"/>
        <w:ind w:left="0" w:right="709"/>
        <w:jc w:val="both"/>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EMS.OR.TL.21.01. تعليمات تمييز المنتجات العضوية وتوسيمها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العضوية وتفريغ الخط</w:t>
      </w:r>
    </w:p>
    <w:p>
      <w:pPr>
        <w:pStyle w:val="ListeParagraf"/>
        <w:numPr>
          <w:ilvl w:val="0"/>
          <w:numId w:val="1"/>
        </w:numPr>
        <w:bidi/>
        <w:spacing w:after="60"/>
        <w:jc w:val="both"/>
      </w:pPr>
      <w:r>
        <w:rPr>
          <w:rFonts w:ascii="Calibri" w:hAnsi="Calibri" w:cs="Arial"/>
          <w:rtl/>
          <w:sz w:val="24"/>
          <w:szCs w:val="24"/>
        </w:rPr>
        <w:t xml:space="preserve">EMS.OR.FRM.21.11. سجل انتظار وفحص القماش الخام العضوي</w:t>
      </w:r>
    </w:p>
    <w:p>
      <w:pPr>
        <w:pStyle w:val="ListeParagraf"/>
        <w:numPr>
          <w:ilvl w:val="0"/>
          <w:numId w:val="1"/>
        </w:numPr>
        <w:bidi/>
        <w:spacing w:after="60"/>
        <w:jc w:val="both"/>
      </w:pPr>
      <w:r>
        <w:rPr>
          <w:rFonts w:ascii="Calibri" w:hAnsi="Calibri" w:cs="Arial"/>
          <w:rtl/>
          <w:sz w:val="24"/>
          <w:szCs w:val="24"/>
        </w:rPr>
        <w:t xml:space="preserve">EMS.OR.FRM.21.02. سجل تتبع الدفعات العضوية</w:t>
      </w:r>
    </w:p>
    <w:p>
      <w:pPr>
        <w:pStyle w:val="ListeParagraf"/>
        <w:numPr>
          <w:ilvl w:val="0"/>
          <w:numId w:val="1"/>
        </w:numPr>
        <w:bidi/>
        <w:spacing w:after="60"/>
        <w:jc w:val="both"/>
      </w:pPr>
      <w:r>
        <w:rPr>
          <w:rFonts w:ascii="Calibri" w:hAnsi="Calibri" w:cs="Arial"/>
          <w:rtl/>
          <w:sz w:val="24"/>
          <w:szCs w:val="24"/>
        </w:rPr>
        <w:t xml:space="preserve">EMS.OR.FRM.21.23. نموذج إشعار المنتج العضوي غير المطابق والحجز</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7. المتابعة والمراجعة</w:t>
      </w:r>
    </w:p>
    <w:p>
      <w:pPr>
        <w:pStyle w:val="ListeParagraf"/>
        <w:bidi/>
        <w:spacing w:after="80"/>
        <w:ind w:left="0" w:right="709"/>
        <w:jc w:val="both"/>
      </w:pPr>
      <w:r>
        <w:rPr>
          <w:rFonts w:ascii="Calibri" w:hAnsi="Calibri" w:cs="Arial"/>
          <w:rtl/>
          <w:sz w:val="24"/>
          <w:szCs w:val="24"/>
        </w:rPr>
        <w:t xml:space="preserve">مشرف ضمان الجودة بيتحقق من تطبيق التعليمات دي مع كل دفعة، ومنسق OCS بيراجع السجلات كل شهر. وبتتراجع التعليمات مرة في السنة على الأقل، وكمان لما بيتغير معيار GOTS أو OCS أو متطلبات العملاء أو تخطيط المنطقة.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GREY FABRIC HOLDING AREA INSTRUCTION</w:t>
          </w:r>
        </w:p>
        <w:p>
          <w:pPr>
            <w:pStyle w:val="GvdeMetni2"/>
            <w:bidi/>
            <w:spacing w:line="276" w:lineRule="auto"/>
            <w:jc w:val="center"/>
          </w:pPr>
          <w:r>
            <w:rPr>
              <w:rFonts w:asciiTheme="minorHAnsi" w:hAnsiTheme="minorHAnsi" w:cs="Arial"/>
              <w:b/>
              <w:bCs/>
              <w:color w:val="000000" w:themeColor="text1"/>
              <w:sz w:val="22"/>
              <w:szCs w:val="22"/>
              <w:rtl/>
            </w:rPr>
            <w:t>تعليمات منطقة انتظار القماش الخام العضوي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EMS.OR.TL.21.06.</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2</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22.10.2026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EMS.OR.TL.21.01. ORGANIC PRODUCT IDENTIFICATION AND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