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jc w:val="both"/>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The area where organic fabric is dyed only with GOTS-approved dyes and chemicals on dedicated machines.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Organic Dyeing Area and to every person who works in it or brings material to it, for all orders produced under GOTS or OCS.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Supervisor:</w:t>
      </w:r>
      <w:r>
        <w:rPr>
          <w:rFonts w:ascii="Calibri" w:hAnsi="Calibri" w:cs="Arial"/>
          <w:sz w:val="24"/>
          <w:szCs w:val="24"/>
        </w:rPr>
        <w:t xml:space="preserve"> Keeps the area marked and in order, makes sure this instruction and its records are applied, and reports every problem to the OCS Coordinator.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Approves the set-up of the area, checks the records and follows up findings and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area during in-line and final inspections and in the internal audit.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Handlers:</w:t>
      </w:r>
      <w:r>
        <w:rPr>
          <w:rFonts w:ascii="Calibri" w:hAnsi="Calibri" w:cs="Arial"/>
          <w:sz w:val="24"/>
          <w:szCs w:val="24"/>
        </w:rPr>
        <w:t xml:space="preserve"> Work as instructed, keep organic and conventional material apart and report any doubt at once.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area:</w:t>
      </w:r>
      <w:r>
        <w:rPr>
          <w:rFonts w:ascii="Calibri" w:hAnsi="Calibri" w:cs="Arial"/>
          <w:sz w:val="24"/>
          <w:szCs w:val="24"/>
        </w:rPr>
        <w:t xml:space="preserve"> A physically separated and clearly marked area used only for GOTS or OCS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label:</w:t>
      </w:r>
      <w:r>
        <w:rPr>
          <w:rFonts w:ascii="Calibri" w:hAnsi="Calibri" w:cs="Arial"/>
          <w:sz w:val="24"/>
          <w:szCs w:val="24"/>
        </w:rPr>
        <w:t xml:space="preserve"> The internal label with order, lot and TC number carried by organic material in this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Conventional material:</w:t>
      </w:r>
      <w:r>
        <w:rPr>
          <w:rFonts w:ascii="Calibri" w:hAnsi="Calibri" w:cs="Arial"/>
          <w:sz w:val="24"/>
          <w:szCs w:val="24"/>
        </w:rPr>
        <w:t xml:space="preserve"> Any material that is not certified organic. It never enters this area.</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INSTRUCTIONS</w:t>
      </w:r>
    </w:p>
    <w:p>
      <w:pPr>
        <w:pStyle w:val="ListeParagraf"/>
        <w:spacing w:before="120" w:after="60"/>
        <w:ind w:left="709" w:right="0"/>
        <w:jc w:val="both"/>
      </w:pPr>
      <w:r>
        <w:rPr>
          <w:rFonts w:ascii="Calibri" w:hAnsi="Calibri" w:cs="Arial"/>
          <w:b/>
          <w:bCs/>
          <w:sz w:val="24"/>
          <w:szCs w:val="24"/>
        </w:rPr>
        <w:t xml:space="preserve">1. AREA RULES</w:t>
      </w:r>
    </w:p>
    <w:p>
      <w:pPr>
        <w:pStyle w:val="ListeParagraf"/>
        <w:spacing w:after="80"/>
        <w:ind w:left="709" w:right="0"/>
        <w:jc w:val="both"/>
      </w:pPr>
      <w:r>
        <w:rPr>
          <w:rFonts w:ascii="Calibri" w:hAnsi="Calibri" w:cs="Arial"/>
          <w:sz w:val="24"/>
          <w:szCs w:val="24"/>
        </w:rPr>
        <w:t xml:space="preserve">1.1. Only GOTS-approved dyes and chemicals are used (positive list).</w:t>
      </w:r>
    </w:p>
    <w:p>
      <w:pPr>
        <w:pStyle w:val="ListeParagraf"/>
        <w:spacing w:after="80"/>
        <w:ind w:left="709" w:right="0"/>
        <w:jc w:val="both"/>
      </w:pPr>
      <w:r>
        <w:rPr>
          <w:rFonts w:ascii="Calibri" w:hAnsi="Calibri" w:cs="Arial"/>
          <w:sz w:val="24"/>
          <w:szCs w:val="24"/>
        </w:rPr>
        <w:t xml:space="preserve">1.2. Dyeing machines are dedicated to organic or cleaned on changeover (wash record).</w:t>
      </w:r>
    </w:p>
    <w:p>
      <w:pPr>
        <w:pStyle w:val="ListeParagraf"/>
        <w:spacing w:after="80"/>
        <w:ind w:left="709" w:right="0"/>
        <w:jc w:val="both"/>
      </w:pPr>
      <w:r>
        <w:rPr>
          <w:rFonts w:ascii="Calibri" w:hAnsi="Calibri" w:cs="Arial"/>
          <w:sz w:val="24"/>
          <w:szCs w:val="24"/>
        </w:rPr>
        <w:t xml:space="preserve">1.3. Recipe and lot tracking is done; every chemical used is recorded.</w:t>
      </w:r>
    </w:p>
    <w:p>
      <w:pPr>
        <w:pStyle w:val="ListeParagraf"/>
        <w:spacing w:after="80"/>
        <w:ind w:left="709" w:right="0"/>
        <w:jc w:val="both"/>
      </w:pPr>
      <w:r>
        <w:rPr>
          <w:rFonts w:ascii="Calibri" w:hAnsi="Calibri" w:cs="Arial"/>
          <w:sz w:val="24"/>
          <w:szCs w:val="24"/>
        </w:rPr>
        <w:t xml:space="preserve">1.4. Wastewater treatment output is monitored against GOTS limits.</w:t>
      </w:r>
    </w:p>
    <w:p>
      <w:pPr>
        <w:pStyle w:val="ListeParagraf"/>
        <w:spacing w:before="120" w:after="60"/>
        <w:ind w:left="709" w:right="0"/>
        <w:jc w:val="both"/>
      </w:pPr>
      <w:r>
        <w:rPr>
          <w:rFonts w:ascii="Calibri" w:hAnsi="Calibri" w:cs="Arial"/>
          <w:b/>
          <w:bCs/>
          <w:sz w:val="24"/>
          <w:szCs w:val="24"/>
        </w:rPr>
        <w:t xml:space="preserve">2. WORKFLOW</w:t>
      </w:r>
    </w:p>
    <w:p>
      <w:pPr>
        <w:pStyle w:val="ListeParagraf"/>
        <w:spacing w:after="80"/>
        <w:ind w:left="709" w:right="0"/>
        <w:jc w:val="both"/>
      </w:pPr>
      <w:r>
        <w:rPr>
          <w:rFonts w:ascii="Calibri" w:hAnsi="Calibri" w:cs="Arial"/>
          <w:sz w:val="24"/>
          <w:szCs w:val="24"/>
        </w:rPr>
        <w:t xml:space="preserve">2.1. Dye order and fabric lot verified</w:t>
      </w:r>
    </w:p>
    <w:p>
      <w:pPr>
        <w:pStyle w:val="ListeParagraf"/>
        <w:spacing w:after="80"/>
        <w:ind w:left="709" w:right="0"/>
        <w:jc w:val="both"/>
      </w:pPr>
      <w:r>
        <w:rPr>
          <w:rFonts w:ascii="Calibri" w:hAnsi="Calibri" w:cs="Arial"/>
          <w:sz w:val="24"/>
          <w:szCs w:val="24"/>
        </w:rPr>
        <w:t xml:space="preserve">2.2. Recipe prepared from the GOTS positive list; lab-dip approved</w:t>
      </w:r>
    </w:p>
    <w:p>
      <w:pPr>
        <w:pStyle w:val="ListeParagraf"/>
        <w:spacing w:after="80"/>
        <w:ind w:left="709" w:right="0"/>
        <w:jc w:val="both"/>
      </w:pPr>
      <w:r>
        <w:rPr>
          <w:rFonts w:ascii="Calibri" w:hAnsi="Calibri" w:cs="Arial"/>
          <w:sz w:val="24"/>
          <w:szCs w:val="24"/>
        </w:rPr>
        <w:t xml:space="preserve">2.3. Machine cleaned/washed and recorded</w:t>
      </w:r>
    </w:p>
    <w:p>
      <w:pPr>
        <w:pStyle w:val="ListeParagraf"/>
        <w:spacing w:after="80"/>
        <w:ind w:left="709" w:right="0"/>
        <w:jc w:val="both"/>
      </w:pPr>
      <w:r>
        <w:rPr>
          <w:rFonts w:ascii="Calibri" w:hAnsi="Calibri" w:cs="Arial"/>
          <w:sz w:val="24"/>
          <w:szCs w:val="24"/>
        </w:rPr>
        <w:t xml:space="preserve">2.4. Dyeing run; parameters recorded</w:t>
      </w:r>
    </w:p>
    <w:p>
      <w:pPr>
        <w:pStyle w:val="ListeParagraf"/>
        <w:spacing w:after="80"/>
        <w:ind w:left="709" w:right="0"/>
        <w:jc w:val="both"/>
      </w:pPr>
      <w:r>
        <w:rPr>
          <w:rFonts w:ascii="Calibri" w:hAnsi="Calibri" w:cs="Arial"/>
          <w:sz w:val="24"/>
          <w:szCs w:val="24"/>
        </w:rPr>
        <w:t xml:space="preserve">2.5. Fabric sent to finishing/drying</w:t>
      </w:r>
    </w:p>
    <w:p>
      <w:pPr>
        <w:pStyle w:val="ListeParagraf"/>
        <w:spacing w:before="120" w:after="60"/>
        <w:ind w:left="709" w:right="0"/>
        <w:jc w:val="both"/>
      </w:pPr>
      <w:r>
        <w:rPr>
          <w:rFonts w:ascii="Calibri" w:hAnsi="Calibri" w:cs="Arial"/>
          <w:b/>
          <w:bCs/>
          <w:sz w:val="24"/>
          <w:szCs w:val="24"/>
        </w:rPr>
        <w:t xml:space="preserve">3. CHECKS BEFORE AND DURING WORK</w:t>
      </w:r>
    </w:p>
    <w:p>
      <w:pPr>
        <w:pStyle w:val="ListeParagraf"/>
        <w:spacing w:after="80"/>
        <w:ind w:left="709" w:right="0"/>
        <w:jc w:val="both"/>
      </w:pPr>
      <w:r>
        <w:rPr>
          <w:rFonts w:ascii="Calibri" w:hAnsi="Calibri" w:cs="Arial"/>
          <w:sz w:val="24"/>
          <w:szCs w:val="24"/>
        </w:rPr>
        <w:t xml:space="preserve">3.1. Is every chemical used GOTS-approved?</w:t>
      </w:r>
    </w:p>
    <w:p>
      <w:pPr>
        <w:pStyle w:val="ListeParagraf"/>
        <w:spacing w:after="80"/>
        <w:ind w:left="709" w:right="0"/>
        <w:jc w:val="both"/>
      </w:pPr>
      <w:r>
        <w:rPr>
          <w:rFonts w:ascii="Calibri" w:hAnsi="Calibri" w:cs="Arial"/>
          <w:sz w:val="24"/>
          <w:szCs w:val="24"/>
        </w:rPr>
        <w:t xml:space="preserve">3.2. Are recipe and lot records complete?</w:t>
      </w:r>
    </w:p>
    <w:p>
      <w:pPr>
        <w:pStyle w:val="ListeParagraf"/>
        <w:spacing w:after="80"/>
        <w:ind w:left="709" w:right="0"/>
        <w:jc w:val="both"/>
      </w:pPr>
      <w:r>
        <w:rPr>
          <w:rFonts w:ascii="Calibri" w:hAnsi="Calibri" w:cs="Arial"/>
          <w:sz w:val="24"/>
          <w:szCs w:val="24"/>
        </w:rPr>
        <w:t xml:space="preserve">3.3. Is the machine changeover cleaning recorded?</w:t>
      </w:r>
    </w:p>
    <w:p>
      <w:pPr>
        <w:pStyle w:val="ListeParagraf"/>
        <w:spacing w:after="80"/>
        <w:ind w:left="709" w:right="0"/>
        <w:jc w:val="both"/>
      </w:pPr>
      <w:r>
        <w:rPr>
          <w:rFonts w:ascii="Calibri" w:hAnsi="Calibri" w:cs="Arial"/>
          <w:sz w:val="24"/>
          <w:szCs w:val="24"/>
        </w:rPr>
        <w:t xml:space="preserve">3.4. Are wastewater results within limits?</w:t>
      </w:r>
    </w:p>
    <w:p>
      <w:pPr>
        <w:pStyle w:val="ListeParagraf"/>
        <w:spacing w:before="120" w:after="60"/>
        <w:ind w:left="709" w:right="0"/>
        <w:jc w:val="both"/>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in this area, or on the same pallet, trolley, table or carton.</w:t>
      </w:r>
    </w:p>
    <w:p>
      <w:pPr>
        <w:pStyle w:val="ListeParagraf"/>
        <w:numPr>
          <w:ilvl w:val="0"/>
          <w:numId w:val="1"/>
        </w:numPr>
        <w:spacing w:after="60"/>
        <w:jc w:val="both"/>
      </w:pPr>
      <w:r>
        <w:rPr>
          <w:rFonts w:ascii="Calibri" w:hAnsi="Calibri" w:cs="Arial"/>
          <w:sz w:val="24"/>
          <w:szCs w:val="24"/>
        </w:rPr>
        <w:t xml:space="preserve">Do not bring unlabelled or doubtful material into the area.</w:t>
      </w:r>
    </w:p>
    <w:p>
      <w:pPr>
        <w:pStyle w:val="ListeParagraf"/>
        <w:numPr>
          <w:ilvl w:val="0"/>
          <w:numId w:val="1"/>
        </w:numPr>
        <w:spacing w:after="60"/>
        <w:jc w:val="both"/>
      </w:pPr>
      <w:r>
        <w:rPr>
          <w:rFonts w:ascii="Calibri" w:hAnsi="Calibri" w:cs="Arial"/>
          <w:sz w:val="24"/>
          <w:szCs w:val="24"/>
        </w:rPr>
        <w:t xml:space="preserve">Do not remove, cover or change the area signs or the green labels.</w:t>
      </w:r>
    </w:p>
    <w:p>
      <w:pPr>
        <w:pStyle w:val="ListeParagraf"/>
        <w:spacing w:before="120" w:after="60"/>
        <w:ind w:left="709" w:right="0"/>
        <w:jc w:val="both"/>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organic and conventional material are mixed, or the status of a material is doubtful, stop work, move the material to the yellow holding area and inform the OCS Coordinator immediately.</w:t>
      </w:r>
    </w:p>
    <w:p>
      <w:pPr>
        <w:pStyle w:val="ListeParagraf"/>
        <w:spacing w:after="80"/>
        <w:ind w:left="709" w:right="0"/>
        <w:jc w:val="both"/>
      </w:pPr>
      <w:r>
        <w:rPr>
          <w:rFonts w:ascii="Calibri" w:hAnsi="Calibri" w:cs="Arial"/>
          <w:sz w:val="24"/>
          <w:szCs w:val="24"/>
        </w:rPr>
        <w:t xml:space="preserve">5.2. Record the case on the Organic Nonconforming Product and Hold Notice (EMS.OR.FRM.21.23). Nonconforming product goes to the red blocked area and is never sold as organic.</w:t>
      </w:r>
    </w:p>
    <w:p>
      <w:pPr>
        <w:pStyle w:val="ListeParagraf"/>
        <w:spacing w:before="120" w:after="60"/>
        <w:ind w:left="709" w:right="0"/>
        <w:jc w:val="both"/>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EMS.OR.FRM.21.12. Organic Dye Batch and Chemical Use Record</w:t>
      </w:r>
    </w:p>
    <w:p>
      <w:pPr>
        <w:pStyle w:val="ListeParagraf"/>
        <w:numPr>
          <w:ilvl w:val="0"/>
          <w:numId w:val="1"/>
        </w:numPr>
        <w:spacing w:after="60"/>
        <w:jc w:val="both"/>
      </w:pPr>
      <w:r>
        <w:rPr>
          <w:rFonts w:ascii="Calibri" w:hAnsi="Calibri" w:cs="Arial"/>
          <w:sz w:val="24"/>
          <w:szCs w:val="24"/>
        </w:rPr>
        <w:t xml:space="preserve">EMS.OR.FRM.21.03. Changeover and Line Clearance Record</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Dyehouse Supervisor checks the application of this instruction for every order and the OCS Coordinator reviews the records every month. The instruction is reviewed at least once a year and whenever the GOTS or OCS standard, customer requirements or the area layout change.</w:t>
      </w:r>
    </w:p>
    <w:p>
      <w:r>
        <w:br w:type="page"/>
      </w:r>
    </w:p>
    <w:p>
      <w:pPr>
        <w:pStyle w:val="ListeParagraf"/>
        <w:bidi/>
        <w:spacing w:before="120" w:after="60"/>
        <w:ind w:left="0" w:right="709"/>
        <w:jc w:val="both"/>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المنطقة اللي بتتصبغ فيها الأقمشة العضوية بمواد معتمدة من GOTS بس، وعلى ماكينات مخصصة.</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التعليمات دي بتتطبق على منطقة الصباغة العضوية وعلى كل شخص بيشتغل فيها أو بيدخّل لها مواد، في كل الأوردرات اللي بتتنتج حسب GOTS أو OCS.</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المصبغة:</w:t>
      </w:r>
      <w:r>
        <w:rPr>
          <w:rFonts w:ascii="Calibri" w:hAnsi="Calibri" w:cs="Arial"/>
          <w:rtl/>
          <w:sz w:val="24"/>
          <w:szCs w:val="24"/>
        </w:rPr>
        <w:t xml:space="preserve"> بيحافظ على علامات المنطقة وترتيبها، وبيتأكد إن التعليمات دي وسجلاتها متطبقة، وبيبلّغ منسق OCS بأي مشكلة.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بيعتمد تجهيز المنطقة، وبيراجع السجلات، وبيتابع الملاحظات والإجراءات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بيفحص المنطقة أثناء الفحص على الخط والفحص النهائي وفي 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والعمال:</w:t>
      </w:r>
      <w:r>
        <w:rPr>
          <w:rFonts w:ascii="Calibri" w:hAnsi="Calibri" w:cs="Arial"/>
          <w:rtl/>
          <w:sz w:val="24"/>
          <w:szCs w:val="24"/>
        </w:rPr>
        <w:t xml:space="preserve"> بيشتغلوا حسب التعليمات، وبيفصلوا المواد العضوية عن التقليدية، وبيبلّغوا فوراً عن أي شك.</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العضوية:</w:t>
      </w:r>
      <w:r>
        <w:rPr>
          <w:rFonts w:ascii="Calibri" w:hAnsi="Calibri" w:cs="Arial"/>
          <w:rtl/>
          <w:sz w:val="24"/>
          <w:szCs w:val="24"/>
        </w:rPr>
        <w:t xml:space="preserve"> منطقة مفصولة فعلياً ومعلّمة بوضوح، بتُستخدم للمواد العضوية GOTS أو OCS 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الملصق الأخضر:</w:t>
      </w:r>
      <w:r>
        <w:rPr>
          <w:rFonts w:ascii="Calibri" w:hAnsi="Calibri" w:cs="Arial"/>
          <w:rtl/>
          <w:sz w:val="24"/>
          <w:szCs w:val="24"/>
        </w:rPr>
        <w:t xml:space="preserve"> ملصق التمييز الداخلي اللي عليه رقم الأوردر والدفعة وشهادة TC، وبتشيله المواد العضوية في المنطقة دي.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التقليدية:</w:t>
      </w:r>
      <w:r>
        <w:rPr>
          <w:rFonts w:ascii="Calibri" w:hAnsi="Calibri" w:cs="Arial"/>
          <w:rtl/>
          <w:sz w:val="24"/>
          <w:szCs w:val="24"/>
        </w:rPr>
        <w:t xml:space="preserve"> أي مادة مش معتمدة عضوية. وما بتدخلش المنطقة دي أبداً.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التعليمات</w:t>
      </w:r>
    </w:p>
    <w:p>
      <w:pPr>
        <w:pStyle w:val="ListeParagraf"/>
        <w:bidi/>
        <w:spacing w:before="120" w:after="60"/>
        <w:ind w:left="0" w:right="709"/>
        <w:jc w:val="both"/>
      </w:pPr>
      <w:r>
        <w:rPr>
          <w:rFonts w:ascii="Calibri" w:hAnsi="Calibri" w:cs="Arial"/>
          <w:b/>
          <w:bCs/>
          <w:rtl/>
          <w:sz w:val="24"/>
          <w:szCs w:val="24"/>
        </w:rPr>
        <w:t xml:space="preserve">1. قواعد المنطقة</w:t>
      </w:r>
    </w:p>
    <w:p>
      <w:pPr>
        <w:pStyle w:val="ListeParagraf"/>
        <w:bidi/>
        <w:spacing w:after="80"/>
        <w:ind w:left="0" w:right="709"/>
        <w:jc w:val="both"/>
      </w:pPr>
      <w:r>
        <w:rPr>
          <w:rFonts w:ascii="Calibri" w:hAnsi="Calibri" w:cs="Arial"/>
          <w:rtl/>
          <w:sz w:val="24"/>
          <w:szCs w:val="24"/>
        </w:rPr>
        <w:t xml:space="preserve">1.1. بيتستخدم الأصباغ والمواد المعتمدة من GOTS بس (القائمة الإيجابية).</w:t>
      </w:r>
    </w:p>
    <w:p>
      <w:pPr>
        <w:pStyle w:val="ListeParagraf"/>
        <w:bidi/>
        <w:spacing w:after="80"/>
        <w:ind w:left="0" w:right="709"/>
        <w:jc w:val="both"/>
      </w:pPr>
      <w:r>
        <w:rPr>
          <w:rFonts w:ascii="Calibri" w:hAnsi="Calibri" w:cs="Arial"/>
          <w:rtl/>
          <w:sz w:val="24"/>
          <w:szCs w:val="24"/>
        </w:rPr>
        <w:t xml:space="preserve">1.2. ماكينات الصباغة بتتخصص للعضوي أو بتتنظف لما بنبدّل (سجل الغسيل).</w:t>
      </w:r>
    </w:p>
    <w:p>
      <w:pPr>
        <w:pStyle w:val="ListeParagraf"/>
        <w:bidi/>
        <w:spacing w:after="80"/>
        <w:ind w:left="0" w:right="709"/>
        <w:jc w:val="both"/>
      </w:pPr>
      <w:r>
        <w:rPr>
          <w:rFonts w:ascii="Calibri" w:hAnsi="Calibri" w:cs="Arial"/>
          <w:rtl/>
          <w:sz w:val="24"/>
          <w:szCs w:val="24"/>
        </w:rPr>
        <w:t xml:space="preserve">1.3. الوصفة والدفعة بيتتبعوا وكل مادة مستخدمة بتتسجل.</w:t>
      </w:r>
    </w:p>
    <w:p>
      <w:pPr>
        <w:pStyle w:val="ListeParagraf"/>
        <w:bidi/>
        <w:spacing w:after="80"/>
        <w:ind w:left="0" w:right="709"/>
        <w:jc w:val="both"/>
      </w:pPr>
      <w:r>
        <w:rPr>
          <w:rFonts w:ascii="Calibri" w:hAnsi="Calibri" w:cs="Arial"/>
          <w:rtl/>
          <w:sz w:val="24"/>
          <w:szCs w:val="24"/>
        </w:rPr>
        <w:t xml:space="preserve">1.4. ناتج معالجة مياه الصرف بيتراقب حسب حدود GOTS.</w:t>
      </w:r>
    </w:p>
    <w:p>
      <w:pPr>
        <w:pStyle w:val="ListeParagraf"/>
        <w:bidi/>
        <w:spacing w:before="120" w:after="60"/>
        <w:ind w:left="0" w:right="709"/>
        <w:jc w:val="both"/>
      </w:pPr>
      <w:r>
        <w:rPr>
          <w:rFonts w:ascii="Calibri" w:hAnsi="Calibri" w:cs="Arial"/>
          <w:b/>
          <w:bCs/>
          <w:rtl/>
          <w:sz w:val="24"/>
          <w:szCs w:val="24"/>
        </w:rPr>
        <w:t xml:space="preserve">2. تسلسل العمل</w:t>
      </w:r>
    </w:p>
    <w:p>
      <w:pPr>
        <w:pStyle w:val="ListeParagraf"/>
        <w:bidi/>
        <w:spacing w:after="80"/>
        <w:ind w:left="0" w:right="709"/>
        <w:jc w:val="both"/>
      </w:pPr>
      <w:r>
        <w:rPr>
          <w:rFonts w:ascii="Calibri" w:hAnsi="Calibri" w:cs="Arial"/>
          <w:rtl/>
          <w:sz w:val="24"/>
          <w:szCs w:val="24"/>
        </w:rPr>
        <w:t xml:space="preserve">2.1. مراجعة أمر الصباغة ودفعة القماش</w:t>
      </w:r>
    </w:p>
    <w:p>
      <w:pPr>
        <w:pStyle w:val="ListeParagraf"/>
        <w:bidi/>
        <w:spacing w:after="80"/>
        <w:ind w:left="0" w:right="709"/>
        <w:jc w:val="both"/>
      </w:pPr>
      <w:r>
        <w:rPr>
          <w:rFonts w:ascii="Calibri" w:hAnsi="Calibri" w:cs="Arial"/>
          <w:rtl/>
          <w:sz w:val="24"/>
          <w:szCs w:val="24"/>
        </w:rPr>
        <w:t xml:space="preserve">2.2. الوصفة بتتجهز من القائمة الإيجابية والـ lab-dip بيتعتمد</w:t>
      </w:r>
    </w:p>
    <w:p>
      <w:pPr>
        <w:pStyle w:val="ListeParagraf"/>
        <w:bidi/>
        <w:spacing w:after="80"/>
        <w:ind w:left="0" w:right="709"/>
        <w:jc w:val="both"/>
      </w:pPr>
      <w:r>
        <w:rPr>
          <w:rFonts w:ascii="Calibri" w:hAnsi="Calibri" w:cs="Arial"/>
          <w:rtl/>
          <w:sz w:val="24"/>
          <w:szCs w:val="24"/>
        </w:rPr>
        <w:t xml:space="preserve">2.3. تنظيف/غسيل الماكينة وتسجيله</w:t>
      </w:r>
    </w:p>
    <w:p>
      <w:pPr>
        <w:pStyle w:val="ListeParagraf"/>
        <w:bidi/>
        <w:spacing w:after="80"/>
        <w:ind w:left="0" w:right="709"/>
        <w:jc w:val="both"/>
      </w:pPr>
      <w:r>
        <w:rPr>
          <w:rFonts w:ascii="Calibri" w:hAnsi="Calibri" w:cs="Arial"/>
          <w:rtl/>
          <w:sz w:val="24"/>
          <w:szCs w:val="24"/>
        </w:rPr>
        <w:t xml:space="preserve">2.4. تنفيذ الصباغة وتسجيل المعايير</w:t>
      </w:r>
    </w:p>
    <w:p>
      <w:pPr>
        <w:pStyle w:val="ListeParagraf"/>
        <w:bidi/>
        <w:spacing w:after="80"/>
        <w:ind w:left="0" w:right="709"/>
        <w:jc w:val="both"/>
      </w:pPr>
      <w:r>
        <w:rPr>
          <w:rFonts w:ascii="Calibri" w:hAnsi="Calibri" w:cs="Arial"/>
          <w:rtl/>
          <w:sz w:val="24"/>
          <w:szCs w:val="24"/>
        </w:rPr>
        <w:t xml:space="preserve">2.5. إرسال القماش للتشطيب/التجفيف</w:t>
      </w:r>
    </w:p>
    <w:p>
      <w:pPr>
        <w:pStyle w:val="ListeParagraf"/>
        <w:bidi/>
        <w:spacing w:before="120" w:after="60"/>
        <w:ind w:left="0" w:right="709"/>
        <w:jc w:val="both"/>
      </w:pPr>
      <w:r>
        <w:rPr>
          <w:rFonts w:ascii="Calibri" w:hAnsi="Calibri" w:cs="Arial"/>
          <w:b/>
          <w:bCs/>
          <w:rtl/>
          <w:sz w:val="24"/>
          <w:szCs w:val="24"/>
        </w:rPr>
        <w:t xml:space="preserve">3. الفحوصات قبل العمل وأثناءه</w:t>
      </w:r>
    </w:p>
    <w:p>
      <w:pPr>
        <w:pStyle w:val="ListeParagraf"/>
        <w:bidi/>
        <w:spacing w:after="80"/>
        <w:ind w:left="0" w:right="709"/>
        <w:jc w:val="both"/>
      </w:pPr>
      <w:r>
        <w:rPr>
          <w:rFonts w:ascii="Calibri" w:hAnsi="Calibri" w:cs="Arial"/>
          <w:rtl/>
          <w:sz w:val="24"/>
          <w:szCs w:val="24"/>
        </w:rPr>
        <w:t xml:space="preserve">3.1. كل مادة مستخدمة معتمدة من GOTS؟</w:t>
      </w:r>
    </w:p>
    <w:p>
      <w:pPr>
        <w:pStyle w:val="ListeParagraf"/>
        <w:bidi/>
        <w:spacing w:after="80"/>
        <w:ind w:left="0" w:right="709"/>
        <w:jc w:val="both"/>
      </w:pPr>
      <w:r>
        <w:rPr>
          <w:rFonts w:ascii="Calibri" w:hAnsi="Calibri" w:cs="Arial"/>
          <w:rtl/>
          <w:sz w:val="24"/>
          <w:szCs w:val="24"/>
        </w:rPr>
        <w:t xml:space="preserve">3.2. سجلات الوصفة والدفعة كاملة؟</w:t>
      </w:r>
    </w:p>
    <w:p>
      <w:pPr>
        <w:pStyle w:val="ListeParagraf"/>
        <w:bidi/>
        <w:spacing w:after="80"/>
        <w:ind w:left="0" w:right="709"/>
        <w:jc w:val="both"/>
      </w:pPr>
      <w:r>
        <w:rPr>
          <w:rFonts w:ascii="Calibri" w:hAnsi="Calibri" w:cs="Arial"/>
          <w:rtl/>
          <w:sz w:val="24"/>
          <w:szCs w:val="24"/>
        </w:rPr>
        <w:t xml:space="preserve">3.3. تنظيف الماكينة عند التبديل متسجل؟</w:t>
      </w:r>
    </w:p>
    <w:p>
      <w:pPr>
        <w:pStyle w:val="ListeParagraf"/>
        <w:bidi/>
        <w:spacing w:after="80"/>
        <w:ind w:left="0" w:right="709"/>
        <w:jc w:val="both"/>
      </w:pPr>
      <w:r>
        <w:rPr>
          <w:rFonts w:ascii="Calibri" w:hAnsi="Calibri" w:cs="Arial"/>
          <w:rtl/>
          <w:sz w:val="24"/>
          <w:szCs w:val="24"/>
        </w:rPr>
        <w:t xml:space="preserve">3.4. نتايج مياه الصرف في الحدود المسموحة؟</w:t>
      </w:r>
    </w:p>
    <w:p>
      <w:pPr>
        <w:pStyle w:val="ListeParagraf"/>
        <w:bidi/>
        <w:spacing w:before="120" w:after="60"/>
        <w:ind w:left="0" w:right="709"/>
        <w:jc w:val="both"/>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في المنطقة دي، ولا على نفس البالتة أو العربية أو الترابيزة أو الكرتونة.</w:t>
      </w:r>
    </w:p>
    <w:p>
      <w:pPr>
        <w:pStyle w:val="ListeParagraf"/>
        <w:numPr>
          <w:ilvl w:val="0"/>
          <w:numId w:val="1"/>
        </w:numPr>
        <w:bidi/>
        <w:spacing w:after="60"/>
        <w:jc w:val="both"/>
      </w:pPr>
      <w:r>
        <w:rPr>
          <w:rFonts w:ascii="Calibri" w:hAnsi="Calibri" w:cs="Arial"/>
          <w:rtl/>
          <w:sz w:val="24"/>
          <w:szCs w:val="24"/>
        </w:rPr>
        <w:t xml:space="preserve">لا تدخّل مادة من غير ملصق أو مشكوك في حالتها للمنطقة.</w:t>
      </w:r>
    </w:p>
    <w:p>
      <w:pPr>
        <w:pStyle w:val="ListeParagraf"/>
        <w:numPr>
          <w:ilvl w:val="0"/>
          <w:numId w:val="1"/>
        </w:numPr>
        <w:bidi/>
        <w:spacing w:after="60"/>
        <w:jc w:val="both"/>
      </w:pPr>
      <w:r>
        <w:rPr>
          <w:rFonts w:ascii="Calibri" w:hAnsi="Calibri" w:cs="Arial"/>
          <w:rtl/>
          <w:sz w:val="24"/>
          <w:szCs w:val="24"/>
        </w:rPr>
        <w:t xml:space="preserve">لا تشيل ولا تغطّي ولا تغيّر لافتات المنطقة أو الملصقات الخضراء.</w:t>
      </w:r>
    </w:p>
    <w:p>
      <w:pPr>
        <w:pStyle w:val="ListeParagraf"/>
        <w:bidi/>
        <w:spacing w:before="120" w:after="60"/>
        <w:ind w:left="0" w:right="709"/>
        <w:jc w:val="both"/>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لو المواد العضوية والتقليدية اتخلطت، أو حالة مادة مشكوك فيها، وقّف الشغل، وانقل المادة لمنطقة الانتظار الصفراء، وبلّغ منسق OCS فوراً.</w:t>
      </w:r>
    </w:p>
    <w:p>
      <w:pPr>
        <w:pStyle w:val="ListeParagraf"/>
        <w:bidi/>
        <w:spacing w:after="80"/>
        <w:ind w:left="0" w:right="709"/>
        <w:jc w:val="both"/>
      </w:pPr>
      <w:r>
        <w:rPr>
          <w:rFonts w:ascii="Calibri" w:hAnsi="Calibri" w:cs="Arial"/>
          <w:rtl/>
          <w:sz w:val="24"/>
          <w:szCs w:val="24"/>
        </w:rPr>
        <w:t xml:space="preserve">5.2. سجّل الحالة في نموذج إشعار المنتج العضوي غير المطابق والحجز (EMS.OR.FRM.21.23). المنتج غير المطابق بيروح لمنطقة الحجز الحمراء وما بيتباعش على إنه عضوي أبداً.</w:t>
      </w:r>
    </w:p>
    <w:p>
      <w:pPr>
        <w:pStyle w:val="ListeParagraf"/>
        <w:bidi/>
        <w:spacing w:before="120" w:after="60"/>
        <w:ind w:left="0" w:right="709"/>
        <w:jc w:val="both"/>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العضوية وتفريغ الخط</w:t>
      </w:r>
    </w:p>
    <w:p>
      <w:pPr>
        <w:pStyle w:val="ListeParagraf"/>
        <w:numPr>
          <w:ilvl w:val="0"/>
          <w:numId w:val="1"/>
        </w:numPr>
        <w:bidi/>
        <w:spacing w:after="60"/>
        <w:jc w:val="both"/>
      </w:pPr>
      <w:r>
        <w:rPr>
          <w:rFonts w:ascii="Calibri" w:hAnsi="Calibri" w:cs="Arial"/>
          <w:rtl/>
          <w:sz w:val="24"/>
          <w:szCs w:val="24"/>
        </w:rPr>
        <w:t xml:space="preserve">EMS.OR.FRM.21.12. سجل دفعة الصباغة العضوية واستخدام المواد الكيميائية</w:t>
      </w:r>
    </w:p>
    <w:p>
      <w:pPr>
        <w:pStyle w:val="ListeParagraf"/>
        <w:numPr>
          <w:ilvl w:val="0"/>
          <w:numId w:val="1"/>
        </w:numPr>
        <w:bidi/>
        <w:spacing w:after="60"/>
        <w:jc w:val="both"/>
      </w:pPr>
      <w:r>
        <w:rPr>
          <w:rFonts w:ascii="Calibri" w:hAnsi="Calibri" w:cs="Arial"/>
          <w:rtl/>
          <w:sz w:val="24"/>
          <w:szCs w:val="24"/>
        </w:rPr>
        <w:t xml:space="preserve">EMS.OR.FRM.21.03. سجل التبديل وتفريغ الخط</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7. المتابعة والمراجعة</w:t>
      </w:r>
    </w:p>
    <w:p>
      <w:pPr>
        <w:pStyle w:val="ListeParagraf"/>
        <w:bidi/>
        <w:spacing w:after="80"/>
        <w:ind w:left="0" w:right="709"/>
        <w:jc w:val="both"/>
      </w:pPr>
      <w:r>
        <w:rPr>
          <w:rFonts w:ascii="Calibri" w:hAnsi="Calibri" w:cs="Arial"/>
          <w:rtl/>
          <w:sz w:val="24"/>
          <w:szCs w:val="24"/>
        </w:rPr>
        <w:t xml:space="preserve">مشرف المصبغة بيتحقق من تطبيق التعليمات دي مع كل أوردر، ومنسق OCS بيراجع السجلات كل شهر. وبتتراجع التعليمات مرة في السنة على الأقل، وكمان لما بيتغير معيار GOTS أو OCS أو متطلبات العملاء أو تخطيط المنطقة.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DYEING AREA INSTRUCTION</w:t>
          </w:r>
        </w:p>
        <w:p>
          <w:pPr>
            <w:pStyle w:val="GvdeMetni2"/>
            <w:bidi/>
            <w:spacing w:line="276" w:lineRule="auto"/>
            <w:jc w:val="center"/>
          </w:pPr>
          <w:r>
            <w:rPr>
              <w:rFonts w:asciiTheme="minorHAnsi" w:hAnsiTheme="minorHAnsi" w:cs="Arial"/>
              <w:b/>
              <w:bCs/>
              <w:color w:val="000000" w:themeColor="text1"/>
              <w:sz w:val="22"/>
              <w:szCs w:val="22"/>
              <w:rtl/>
            </w:rPr>
            <w:t>تعليمات منطقة الصباغة العضوية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EMS.OR.TL.21.07.</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2</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22.10.2026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