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jc w:val="both"/>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The area where waste from organic production is segregated at source and temporarily stored.</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Organic Waste and Segregation Area and to every person who works in it or brings material to it, for all orders produced under GOTS or OCS.</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Environment Officer:</w:t>
      </w:r>
      <w:r>
        <w:rPr>
          <w:rFonts w:ascii="Calibri" w:hAnsi="Calibri" w:cs="Arial"/>
          <w:sz w:val="24"/>
          <w:szCs w:val="24"/>
        </w:rPr>
        <w:t xml:space="preserve"> Keeps the area marked and in order, makes sure this instruction and its records are applied, and reports every problem to the OCS Coordinator.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Coordinator:</w:t>
      </w:r>
      <w:r>
        <w:rPr>
          <w:rFonts w:ascii="Calibri" w:hAnsi="Calibri" w:cs="Arial"/>
          <w:sz w:val="24"/>
          <w:szCs w:val="24"/>
        </w:rPr>
        <w:t xml:space="preserve"> Approves the set-up of the area, checks the records and follows up findings and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Checks the area during in-line and final inspections and in the internal audit.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 and Handlers:</w:t>
      </w:r>
      <w:r>
        <w:rPr>
          <w:rFonts w:ascii="Calibri" w:hAnsi="Calibri" w:cs="Arial"/>
          <w:sz w:val="24"/>
          <w:szCs w:val="24"/>
        </w:rPr>
        <w:t xml:space="preserve"> Work as instructed, keep organic and conventional material apart and report any doubt at once.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Organic area:</w:t>
      </w:r>
      <w:r>
        <w:rPr>
          <w:rFonts w:ascii="Calibri" w:hAnsi="Calibri" w:cs="Arial"/>
          <w:sz w:val="24"/>
          <w:szCs w:val="24"/>
        </w:rPr>
        <w:t xml:space="preserve"> A physically separated and clearly marked area used only for GOTS or OCS organic material.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Green label:</w:t>
      </w:r>
      <w:r>
        <w:rPr>
          <w:rFonts w:ascii="Calibri" w:hAnsi="Calibri" w:cs="Arial"/>
          <w:sz w:val="24"/>
          <w:szCs w:val="24"/>
        </w:rPr>
        <w:t xml:space="preserve"> The internal label with order, lot and TC number carried by organic material in this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Conventional material:</w:t>
      </w:r>
      <w:r>
        <w:rPr>
          <w:rFonts w:ascii="Calibri" w:hAnsi="Calibri" w:cs="Arial"/>
          <w:sz w:val="24"/>
          <w:szCs w:val="24"/>
        </w:rPr>
        <w:t xml:space="preserve"> Any material that is not certified organic. It never enters this area.</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INSTRUCTIONS</w:t>
      </w:r>
    </w:p>
    <w:p>
      <w:pPr>
        <w:pStyle w:val="ListeParagraf"/>
        <w:spacing w:before="120" w:after="60"/>
        <w:ind w:left="709" w:right="0"/>
        <w:jc w:val="both"/>
      </w:pPr>
      <w:r>
        <w:rPr>
          <w:rFonts w:ascii="Calibri" w:hAnsi="Calibri" w:cs="Arial"/>
          <w:b/>
          <w:bCs/>
          <w:sz w:val="24"/>
          <w:szCs w:val="24"/>
        </w:rPr>
        <w:t xml:space="preserve">1. AREA RULES</w:t>
      </w:r>
    </w:p>
    <w:p>
      <w:pPr>
        <w:pStyle w:val="ListeParagraf"/>
        <w:spacing w:after="80"/>
        <w:ind w:left="709" w:right="0"/>
        <w:jc w:val="both"/>
      </w:pPr>
      <w:r>
        <w:rPr>
          <w:rFonts w:ascii="Calibri" w:hAnsi="Calibri" w:cs="Arial"/>
          <w:sz w:val="24"/>
          <w:szCs w:val="24"/>
        </w:rPr>
        <w:t xml:space="preserve">1.1. Waste is segregated at source in colour-coded bins.</w:t>
      </w:r>
    </w:p>
    <w:p>
      <w:pPr>
        <w:pStyle w:val="ListeParagraf"/>
        <w:spacing w:after="80"/>
        <w:ind w:left="709" w:right="0"/>
        <w:jc w:val="both"/>
      </w:pPr>
      <w:r>
        <w:rPr>
          <w:rFonts w:ascii="Calibri" w:hAnsi="Calibri" w:cs="Arial"/>
          <w:sz w:val="24"/>
          <w:szCs w:val="24"/>
        </w:rPr>
        <w:t xml:space="preserve">1.2. Hazardous waste is kept in a closed, labelled, bunded area.</w:t>
      </w:r>
    </w:p>
    <w:p>
      <w:pPr>
        <w:pStyle w:val="ListeParagraf"/>
        <w:spacing w:after="80"/>
        <w:ind w:left="709" w:right="0"/>
        <w:jc w:val="both"/>
      </w:pPr>
      <w:r>
        <w:rPr>
          <w:rFonts w:ascii="Calibri" w:hAnsi="Calibri" w:cs="Arial"/>
          <w:sz w:val="24"/>
          <w:szCs w:val="24"/>
        </w:rPr>
        <w:t xml:space="preserve">1.3. Wastewater treatment output is monitored and recorded.</w:t>
      </w:r>
    </w:p>
    <w:p>
      <w:pPr>
        <w:pStyle w:val="ListeParagraf"/>
        <w:spacing w:after="80"/>
        <w:ind w:left="709" w:right="0"/>
        <w:jc w:val="both"/>
      </w:pPr>
      <w:r>
        <w:rPr>
          <w:rFonts w:ascii="Calibri" w:hAnsi="Calibri" w:cs="Arial"/>
          <w:sz w:val="24"/>
          <w:szCs w:val="24"/>
        </w:rPr>
        <w:t xml:space="preserve">1.4. Offcuts of organic and conventional production are not mixed.</w:t>
      </w:r>
    </w:p>
    <w:p>
      <w:pPr>
        <w:pStyle w:val="ListeParagraf"/>
        <w:spacing w:before="120" w:after="60"/>
        <w:ind w:left="709" w:right="0"/>
        <w:jc w:val="both"/>
      </w:pPr>
      <w:r>
        <w:rPr>
          <w:rFonts w:ascii="Calibri" w:hAnsi="Calibri" w:cs="Arial"/>
          <w:b/>
          <w:bCs/>
          <w:sz w:val="24"/>
          <w:szCs w:val="24"/>
        </w:rPr>
        <w:t xml:space="preserve">2. WORKFLOW</w:t>
      </w:r>
    </w:p>
    <w:p>
      <w:pPr>
        <w:pStyle w:val="ListeParagraf"/>
        <w:spacing w:after="80"/>
        <w:ind w:left="709" w:right="0"/>
        <w:jc w:val="both"/>
      </w:pPr>
      <w:r>
        <w:rPr>
          <w:rFonts w:ascii="Calibri" w:hAnsi="Calibri" w:cs="Arial"/>
          <w:sz w:val="24"/>
          <w:szCs w:val="24"/>
        </w:rPr>
        <w:t xml:space="preserve">2.1. Waste segregated at source</w:t>
      </w:r>
    </w:p>
    <w:p>
      <w:pPr>
        <w:pStyle w:val="ListeParagraf"/>
        <w:spacing w:after="80"/>
        <w:ind w:left="709" w:right="0"/>
        <w:jc w:val="both"/>
      </w:pPr>
      <w:r>
        <w:rPr>
          <w:rFonts w:ascii="Calibri" w:hAnsi="Calibri" w:cs="Arial"/>
          <w:sz w:val="24"/>
          <w:szCs w:val="24"/>
        </w:rPr>
        <w:t xml:space="preserve">2.2. Bins labelled and collected</w:t>
      </w:r>
    </w:p>
    <w:p>
      <w:pPr>
        <w:pStyle w:val="ListeParagraf"/>
        <w:spacing w:after="80"/>
        <w:ind w:left="709" w:right="0"/>
        <w:jc w:val="both"/>
      </w:pPr>
      <w:r>
        <w:rPr>
          <w:rFonts w:ascii="Calibri" w:hAnsi="Calibri" w:cs="Arial"/>
          <w:sz w:val="24"/>
          <w:szCs w:val="24"/>
        </w:rPr>
        <w:t xml:space="preserve">2.3. Moved to temporary storage</w:t>
      </w:r>
    </w:p>
    <w:p>
      <w:pPr>
        <w:pStyle w:val="ListeParagraf"/>
        <w:spacing w:after="80"/>
        <w:ind w:left="709" w:right="0"/>
        <w:jc w:val="both"/>
      </w:pPr>
      <w:r>
        <w:rPr>
          <w:rFonts w:ascii="Calibri" w:hAnsi="Calibri" w:cs="Arial"/>
          <w:sz w:val="24"/>
          <w:szCs w:val="24"/>
        </w:rPr>
        <w:t xml:space="preserve">2.4. Handed to a licensed contractor</w:t>
      </w:r>
    </w:p>
    <w:p>
      <w:pPr>
        <w:pStyle w:val="ListeParagraf"/>
        <w:spacing w:after="80"/>
        <w:ind w:left="709" w:right="0"/>
        <w:jc w:val="both"/>
      </w:pPr>
      <w:r>
        <w:rPr>
          <w:rFonts w:ascii="Calibri" w:hAnsi="Calibri" w:cs="Arial"/>
          <w:sz w:val="24"/>
          <w:szCs w:val="24"/>
        </w:rPr>
        <w:t xml:space="preserve">2.5. Hand-over documents and quantity recorded</w:t>
      </w:r>
    </w:p>
    <w:p>
      <w:pPr>
        <w:pStyle w:val="ListeParagraf"/>
        <w:spacing w:before="120" w:after="60"/>
        <w:ind w:left="709" w:right="0"/>
        <w:jc w:val="both"/>
      </w:pPr>
      <w:r>
        <w:rPr>
          <w:rFonts w:ascii="Calibri" w:hAnsi="Calibri" w:cs="Arial"/>
          <w:b/>
          <w:bCs/>
          <w:sz w:val="24"/>
          <w:szCs w:val="24"/>
        </w:rPr>
        <w:t xml:space="preserve">3. CHECKS BEFORE AND DURING WORK</w:t>
      </w:r>
    </w:p>
    <w:p>
      <w:pPr>
        <w:pStyle w:val="ListeParagraf"/>
        <w:spacing w:after="80"/>
        <w:ind w:left="709" w:right="0"/>
        <w:jc w:val="both"/>
      </w:pPr>
      <w:r>
        <w:rPr>
          <w:rFonts w:ascii="Calibri" w:hAnsi="Calibri" w:cs="Arial"/>
          <w:sz w:val="24"/>
          <w:szCs w:val="24"/>
        </w:rPr>
        <w:t xml:space="preserve">3.1. Are bins colour-coded and labelled?</w:t>
      </w:r>
    </w:p>
    <w:p>
      <w:pPr>
        <w:pStyle w:val="ListeParagraf"/>
        <w:spacing w:after="80"/>
        <w:ind w:left="709" w:right="0"/>
        <w:jc w:val="both"/>
      </w:pPr>
      <w:r>
        <w:rPr>
          <w:rFonts w:ascii="Calibri" w:hAnsi="Calibri" w:cs="Arial"/>
          <w:sz w:val="24"/>
          <w:szCs w:val="24"/>
        </w:rPr>
        <w:t xml:space="preserve">3.2. Is the hazardous-waste area closed and safe?</w:t>
      </w:r>
    </w:p>
    <w:p>
      <w:pPr>
        <w:pStyle w:val="ListeParagraf"/>
        <w:spacing w:after="80"/>
        <w:ind w:left="709" w:right="0"/>
        <w:jc w:val="both"/>
      </w:pPr>
      <w:r>
        <w:rPr>
          <w:rFonts w:ascii="Calibri" w:hAnsi="Calibri" w:cs="Arial"/>
          <w:sz w:val="24"/>
          <w:szCs w:val="24"/>
        </w:rPr>
        <w:t xml:space="preserve">3.3. Are waste hand-over documents complete?</w:t>
      </w:r>
    </w:p>
    <w:p>
      <w:pPr>
        <w:pStyle w:val="ListeParagraf"/>
        <w:spacing w:after="80"/>
        <w:ind w:left="709" w:right="0"/>
        <w:jc w:val="both"/>
      </w:pPr>
      <w:r>
        <w:rPr>
          <w:rFonts w:ascii="Calibri" w:hAnsi="Calibri" w:cs="Arial"/>
          <w:sz w:val="24"/>
          <w:szCs w:val="24"/>
        </w:rPr>
        <w:t xml:space="preserve">3.4. Are wastewater analysis results within limits?</w:t>
      </w:r>
    </w:p>
    <w:p>
      <w:pPr>
        <w:pStyle w:val="ListeParagraf"/>
        <w:spacing w:before="120" w:after="60"/>
        <w:ind w:left="709" w:right="0"/>
        <w:jc w:val="both"/>
      </w:pPr>
      <w:r>
        <w:rPr>
          <w:rFonts w:ascii="Calibri" w:hAnsi="Calibri" w:cs="Arial"/>
          <w:b/>
          <w:bCs/>
          <w:sz w:val="24"/>
          <w:szCs w:val="24"/>
        </w:rPr>
        <w:t xml:space="preserve">4. PROHIBITIONS</w:t>
      </w:r>
    </w:p>
    <w:p>
      <w:pPr>
        <w:pStyle w:val="ListeParagraf"/>
        <w:numPr>
          <w:ilvl w:val="0"/>
          <w:numId w:val="1"/>
        </w:numPr>
        <w:spacing w:after="60"/>
        <w:jc w:val="both"/>
      </w:pPr>
      <w:r>
        <w:rPr>
          <w:rFonts w:ascii="Calibri" w:hAnsi="Calibri" w:cs="Arial"/>
          <w:sz w:val="24"/>
          <w:szCs w:val="24"/>
        </w:rPr>
        <w:t xml:space="preserve">Do not mix organic and conventional material in this area, or on the same pallet, trolley, table or carton.</w:t>
      </w:r>
    </w:p>
    <w:p>
      <w:pPr>
        <w:pStyle w:val="ListeParagraf"/>
        <w:numPr>
          <w:ilvl w:val="0"/>
          <w:numId w:val="1"/>
        </w:numPr>
        <w:spacing w:after="60"/>
        <w:jc w:val="both"/>
      </w:pPr>
      <w:r>
        <w:rPr>
          <w:rFonts w:ascii="Calibri" w:hAnsi="Calibri" w:cs="Arial"/>
          <w:sz w:val="24"/>
          <w:szCs w:val="24"/>
        </w:rPr>
        <w:t xml:space="preserve">Do not bring unlabelled or doubtful material into the area.</w:t>
      </w:r>
    </w:p>
    <w:p>
      <w:pPr>
        <w:pStyle w:val="ListeParagraf"/>
        <w:numPr>
          <w:ilvl w:val="0"/>
          <w:numId w:val="1"/>
        </w:numPr>
        <w:spacing w:after="60"/>
        <w:jc w:val="both"/>
      </w:pPr>
      <w:r>
        <w:rPr>
          <w:rFonts w:ascii="Calibri" w:hAnsi="Calibri" w:cs="Arial"/>
          <w:sz w:val="24"/>
          <w:szCs w:val="24"/>
        </w:rPr>
        <w:t xml:space="preserve">Do not remove, cover or change the area signs or the green labels.</w:t>
      </w:r>
    </w:p>
    <w:p>
      <w:pPr>
        <w:pStyle w:val="ListeParagraf"/>
        <w:spacing w:before="120" w:after="60"/>
        <w:ind w:left="709" w:right="0"/>
        <w:jc w:val="both"/>
      </w:pPr>
      <w:r>
        <w:rPr>
          <w:rFonts w:ascii="Calibri" w:hAnsi="Calibri" w:cs="Arial"/>
          <w:b/>
          <w:bCs/>
          <w:sz w:val="24"/>
          <w:szCs w:val="24"/>
        </w:rPr>
        <w:t xml:space="preserve">5. IN CASE OF PROBLEM</w:t>
      </w:r>
    </w:p>
    <w:p>
      <w:pPr>
        <w:pStyle w:val="ListeParagraf"/>
        <w:spacing w:after="80"/>
        <w:ind w:left="709" w:right="0"/>
        <w:jc w:val="both"/>
      </w:pPr>
      <w:r>
        <w:rPr>
          <w:rFonts w:ascii="Calibri" w:hAnsi="Calibri" w:cs="Arial"/>
          <w:sz w:val="24"/>
          <w:szCs w:val="24"/>
        </w:rPr>
        <w:t xml:space="preserve">5.1. If organic and conventional material are mixed, or the status of a material is doubtful, stop work, move the material to the yellow holding area and inform the OCS Coordinator immediately.</w:t>
      </w:r>
    </w:p>
    <w:p>
      <w:pPr>
        <w:pStyle w:val="ListeParagraf"/>
        <w:spacing w:after="80"/>
        <w:ind w:left="709" w:right="0"/>
        <w:jc w:val="both"/>
      </w:pPr>
      <w:r>
        <w:rPr>
          <w:rFonts w:ascii="Calibri" w:hAnsi="Calibri" w:cs="Arial"/>
          <w:sz w:val="24"/>
          <w:szCs w:val="24"/>
        </w:rPr>
        <w:t xml:space="preserve">5.2. Record the case on the Organic Nonconforming Product and Hold Notice (EMS.OR.FRM.21.23). Nonconforming product goes to the red blocked area and is never sold as organic.</w:t>
      </w:r>
    </w:p>
    <w:p>
      <w:pPr>
        <w:pStyle w:val="ListeParagraf"/>
        <w:spacing w:before="120" w:after="60"/>
        <w:ind w:left="709" w:right="0"/>
        <w:jc w:val="both"/>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EMS.OR.POL.21.01. Organic Content Policy</w:t>
      </w:r>
    </w:p>
    <w:p>
      <w:pPr>
        <w:pStyle w:val="ListeParagraf"/>
        <w:numPr>
          <w:ilvl w:val="0"/>
          <w:numId w:val="1"/>
        </w:numPr>
        <w:spacing w:after="60"/>
        <w:jc w:val="both"/>
      </w:pPr>
      <w:r>
        <w:rPr>
          <w:rFonts w:ascii="Calibri" w:hAnsi="Calibri" w:cs="Arial"/>
          <w:sz w:val="24"/>
          <w:szCs w:val="24"/>
        </w:rPr>
        <w:t xml:space="preserve">EMS.OR.PRO.21.01. OCS Material Handling, Segregation and Traceability Procedure</w:t>
      </w:r>
    </w:p>
    <w:p>
      <w:pPr>
        <w:pStyle w:val="ListeParagraf"/>
        <w:numPr>
          <w:ilvl w:val="0"/>
          <w:numId w:val="1"/>
        </w:numPr>
        <w:spacing w:after="60"/>
        <w:jc w:val="both"/>
      </w:pPr>
      <w:r>
        <w:rPr>
          <w:rFonts w:ascii="Calibri" w:hAnsi="Calibri" w:cs="Arial"/>
          <w:sz w:val="24"/>
          <w:szCs w:val="24"/>
        </w:rPr>
        <w:t xml:space="preserve">EMS.OR.PRO.21.02. Organic Production Area Segregation and Visual Identification Procedure</w:t>
      </w:r>
    </w:p>
    <w:p>
      <w:pPr>
        <w:pStyle w:val="ListeParagraf"/>
        <w:numPr>
          <w:ilvl w:val="0"/>
          <w:numId w:val="1"/>
        </w:numPr>
        <w:spacing w:after="60"/>
        <w:jc w:val="both"/>
      </w:pPr>
      <w:r>
        <w:rPr>
          <w:rFonts w:ascii="Calibri" w:hAnsi="Calibri" w:cs="Arial"/>
          <w:sz w:val="24"/>
          <w:szCs w:val="24"/>
        </w:rPr>
        <w:t xml:space="preserve">EMS.OR.TL.21.01. Organic Product Identification and Labelling Instruction</w:t>
      </w:r>
    </w:p>
    <w:p>
      <w:pPr>
        <w:pStyle w:val="ListeParagraf"/>
        <w:numPr>
          <w:ilvl w:val="0"/>
          <w:numId w:val="1"/>
        </w:numPr>
        <w:spacing w:after="60"/>
        <w:jc w:val="both"/>
      </w:pPr>
      <w:r>
        <w:rPr>
          <w:rFonts w:ascii="Calibri" w:hAnsi="Calibri" w:cs="Arial"/>
          <w:sz w:val="24"/>
          <w:szCs w:val="24"/>
        </w:rPr>
        <w:t xml:space="preserve">EMS.OR.TL.21.02. Organic Area Changeover and Line Clearance Cleaning Instruction</w:t>
      </w:r>
    </w:p>
    <w:p>
      <w:pPr>
        <w:pStyle w:val="ListeParagraf"/>
        <w:numPr>
          <w:ilvl w:val="0"/>
          <w:numId w:val="1"/>
        </w:numPr>
        <w:spacing w:after="60"/>
        <w:jc w:val="both"/>
      </w:pPr>
      <w:r>
        <w:rPr>
          <w:rFonts w:ascii="Calibri" w:hAnsi="Calibri" w:cs="Arial"/>
          <w:sz w:val="24"/>
          <w:szCs w:val="24"/>
        </w:rPr>
        <w:t xml:space="preserve">EMS.OR.FRM.21.21. Organic Waste and Segregation Record</w:t>
      </w:r>
    </w:p>
    <w:p>
      <w:pPr>
        <w:pStyle w:val="ListeParagraf"/>
        <w:numPr>
          <w:ilvl w:val="0"/>
          <w:numId w:val="1"/>
        </w:numPr>
        <w:spacing w:after="60"/>
        <w:jc w:val="both"/>
      </w:pPr>
      <w:r>
        <w:rPr>
          <w:rFonts w:ascii="Calibri" w:hAnsi="Calibri" w:cs="Arial"/>
          <w:sz w:val="24"/>
          <w:szCs w:val="24"/>
        </w:rPr>
        <w:t xml:space="preserve">EMS.OR.FRM.21.23. Organic Nonconforming Product and Hold Notice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Environment Officer checks the application of this instruction every day and the OCS Coordinator reviews the records every month. The instruction is reviewed at least once a year and whenever the GOTS or OCS standard, customer requirements or the area layout change.</w:t>
      </w:r>
    </w:p>
    <w:p>
      <w:r>
        <w:br w:type="page"/>
      </w:r>
    </w:p>
    <w:p>
      <w:pPr>
        <w:pStyle w:val="ListeParagraf"/>
        <w:bidi/>
        <w:spacing w:before="120" w:after="60"/>
        <w:ind w:left="0" w:right="709"/>
        <w:jc w:val="both"/>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المنطقة اللي بتتفرز فيها نفايات الإنتاج العضوي من المصدر وبتتخزن مؤقتاً.</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التعليمات دي بتتطبق على منطقة الفرز والنفايات العضوية وعلى كل شخص بيشتغل فيها أو بيدخّل لها مواد، في كل الأوردرات اللي بتتنتج حسب GOTS أو OCS.</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البيئة:</w:t>
      </w:r>
      <w:r>
        <w:rPr>
          <w:rFonts w:ascii="Calibri" w:hAnsi="Calibri" w:cs="Arial"/>
          <w:rtl/>
          <w:sz w:val="24"/>
          <w:szCs w:val="24"/>
        </w:rPr>
        <w:t xml:space="preserve"> بيحافظ على علامات المنطقة وترتيبها، وبيتأكد إن التعليمات دي وسجلاتها متطبقة، وبيبلّغ منسق OCS بأي مشكلة.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OCS:</w:t>
      </w:r>
      <w:r>
        <w:rPr>
          <w:rFonts w:ascii="Calibri" w:hAnsi="Calibri" w:cs="Arial"/>
          <w:rtl/>
          <w:sz w:val="24"/>
          <w:szCs w:val="24"/>
        </w:rPr>
        <w:t xml:space="preserve"> بيعتمد تجهيز المنطقة، وبيراجع السجلات، وبيتابع الملاحظات والإجراءات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بيفحص المنطقة أثناء الفحص على الخط والفحص النهائي وفي التدقيق الداخلي.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 والعمال:</w:t>
      </w:r>
      <w:r>
        <w:rPr>
          <w:rFonts w:ascii="Calibri" w:hAnsi="Calibri" w:cs="Arial"/>
          <w:rtl/>
          <w:sz w:val="24"/>
          <w:szCs w:val="24"/>
        </w:rPr>
        <w:t xml:space="preserve"> بيشتغلوا حسب التعليمات، وبيفصلوا المواد العضوية عن التقليدية، وبيبلّغوا فوراً عن أي شك.</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المنطقة العضوية:</w:t>
      </w:r>
      <w:r>
        <w:rPr>
          <w:rFonts w:ascii="Calibri" w:hAnsi="Calibri" w:cs="Arial"/>
          <w:rtl/>
          <w:sz w:val="24"/>
          <w:szCs w:val="24"/>
        </w:rPr>
        <w:t xml:space="preserve"> منطقة مفصولة فعلياً ومعلّمة بوضوح، بتُستخدم للمواد العضوية GOTS أو OCS بس.</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الملصق الأخضر:</w:t>
      </w:r>
      <w:r>
        <w:rPr>
          <w:rFonts w:ascii="Calibri" w:hAnsi="Calibri" w:cs="Arial"/>
          <w:rtl/>
          <w:sz w:val="24"/>
          <w:szCs w:val="24"/>
        </w:rPr>
        <w:t xml:space="preserve"> ملصق التمييز الداخلي اللي عليه رقم الأوردر والدفعة وشهادة TC، وبتشيله المواد العضوية في المنطقة دي.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المادة التقليدية:</w:t>
      </w:r>
      <w:r>
        <w:rPr>
          <w:rFonts w:ascii="Calibri" w:hAnsi="Calibri" w:cs="Arial"/>
          <w:rtl/>
          <w:sz w:val="24"/>
          <w:szCs w:val="24"/>
        </w:rPr>
        <w:t xml:space="preserve"> أي مادة مش معتمدة عضوية. وما بتدخلش المنطقة دي أبداً.</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التعليمات</w:t>
      </w:r>
    </w:p>
    <w:p>
      <w:pPr>
        <w:pStyle w:val="ListeParagraf"/>
        <w:bidi/>
        <w:spacing w:before="120" w:after="60"/>
        <w:ind w:left="0" w:right="709"/>
        <w:jc w:val="both"/>
      </w:pPr>
      <w:r>
        <w:rPr>
          <w:rFonts w:ascii="Calibri" w:hAnsi="Calibri" w:cs="Arial"/>
          <w:b/>
          <w:bCs/>
          <w:rtl/>
          <w:sz w:val="24"/>
          <w:szCs w:val="24"/>
        </w:rPr>
        <w:t xml:space="preserve">1. قواعد المنطقة</w:t>
      </w:r>
    </w:p>
    <w:p>
      <w:pPr>
        <w:pStyle w:val="ListeParagraf"/>
        <w:bidi/>
        <w:spacing w:after="80"/>
        <w:ind w:left="0" w:right="709"/>
        <w:jc w:val="both"/>
      </w:pPr>
      <w:r>
        <w:rPr>
          <w:rFonts w:ascii="Calibri" w:hAnsi="Calibri" w:cs="Arial"/>
          <w:rtl/>
          <w:sz w:val="24"/>
          <w:szCs w:val="24"/>
        </w:rPr>
        <w:t xml:space="preserve">1.1. النفايات بتتفرز من المصدر في حاويات بألوان مميزة.</w:t>
      </w:r>
    </w:p>
    <w:p>
      <w:pPr>
        <w:pStyle w:val="ListeParagraf"/>
        <w:bidi/>
        <w:spacing w:after="80"/>
        <w:ind w:left="0" w:right="709"/>
        <w:jc w:val="both"/>
      </w:pPr>
      <w:r>
        <w:rPr>
          <w:rFonts w:ascii="Calibri" w:hAnsi="Calibri" w:cs="Arial"/>
          <w:rtl/>
          <w:sz w:val="24"/>
          <w:szCs w:val="24"/>
        </w:rPr>
        <w:t xml:space="preserve">1.2. النفايات الخطرة بتتحفظ في منطقة مقفولة ومتعلّمة وأرضيتها محمية.</w:t>
      </w:r>
    </w:p>
    <w:p>
      <w:pPr>
        <w:pStyle w:val="ListeParagraf"/>
        <w:bidi/>
        <w:spacing w:after="80"/>
        <w:ind w:left="0" w:right="709"/>
        <w:jc w:val="both"/>
      </w:pPr>
      <w:r>
        <w:rPr>
          <w:rFonts w:ascii="Calibri" w:hAnsi="Calibri" w:cs="Arial"/>
          <w:rtl/>
          <w:sz w:val="24"/>
          <w:szCs w:val="24"/>
        </w:rPr>
        <w:t xml:space="preserve">1.3. ناتج معالجة مياه الصرف بيتراقب وبيتسجل.</w:t>
      </w:r>
    </w:p>
    <w:p>
      <w:pPr>
        <w:pStyle w:val="ListeParagraf"/>
        <w:bidi/>
        <w:spacing w:after="80"/>
        <w:ind w:left="0" w:right="709"/>
        <w:jc w:val="both"/>
      </w:pPr>
      <w:r>
        <w:rPr>
          <w:rFonts w:ascii="Calibri" w:hAnsi="Calibri" w:cs="Arial"/>
          <w:rtl/>
          <w:sz w:val="24"/>
          <w:szCs w:val="24"/>
        </w:rPr>
        <w:t xml:space="preserve">1.4. قصاصات الإنتاج العضوي والتقليدي ما بتتخلطش.</w:t>
      </w:r>
    </w:p>
    <w:p>
      <w:pPr>
        <w:pStyle w:val="ListeParagraf"/>
        <w:bidi/>
        <w:spacing w:before="120" w:after="60"/>
        <w:ind w:left="0" w:right="709"/>
        <w:jc w:val="both"/>
      </w:pPr>
      <w:r>
        <w:rPr>
          <w:rFonts w:ascii="Calibri" w:hAnsi="Calibri" w:cs="Arial"/>
          <w:b/>
          <w:bCs/>
          <w:rtl/>
          <w:sz w:val="24"/>
          <w:szCs w:val="24"/>
        </w:rPr>
        <w:t xml:space="preserve">2. تسلسل العمل</w:t>
      </w:r>
    </w:p>
    <w:p>
      <w:pPr>
        <w:pStyle w:val="ListeParagraf"/>
        <w:bidi/>
        <w:spacing w:after="80"/>
        <w:ind w:left="0" w:right="709"/>
        <w:jc w:val="both"/>
      </w:pPr>
      <w:r>
        <w:rPr>
          <w:rFonts w:ascii="Calibri" w:hAnsi="Calibri" w:cs="Arial"/>
          <w:rtl/>
          <w:sz w:val="24"/>
          <w:szCs w:val="24"/>
        </w:rPr>
        <w:t xml:space="preserve">2.1. فرز النفايات من المصدر</w:t>
      </w:r>
    </w:p>
    <w:p>
      <w:pPr>
        <w:pStyle w:val="ListeParagraf"/>
        <w:bidi/>
        <w:spacing w:after="80"/>
        <w:ind w:left="0" w:right="709"/>
        <w:jc w:val="both"/>
      </w:pPr>
      <w:r>
        <w:rPr>
          <w:rFonts w:ascii="Calibri" w:hAnsi="Calibri" w:cs="Arial"/>
          <w:rtl/>
          <w:sz w:val="24"/>
          <w:szCs w:val="24"/>
        </w:rPr>
        <w:t xml:space="preserve">2.2. تعليم الحاويات وجمعها</w:t>
      </w:r>
    </w:p>
    <w:p>
      <w:pPr>
        <w:pStyle w:val="ListeParagraf"/>
        <w:bidi/>
        <w:spacing w:after="80"/>
        <w:ind w:left="0" w:right="709"/>
        <w:jc w:val="both"/>
      </w:pPr>
      <w:r>
        <w:rPr>
          <w:rFonts w:ascii="Calibri" w:hAnsi="Calibri" w:cs="Arial"/>
          <w:rtl/>
          <w:sz w:val="24"/>
          <w:szCs w:val="24"/>
        </w:rPr>
        <w:t xml:space="preserve">2.3. النقل للتخزين المؤقت</w:t>
      </w:r>
    </w:p>
    <w:p>
      <w:pPr>
        <w:pStyle w:val="ListeParagraf"/>
        <w:bidi/>
        <w:spacing w:after="80"/>
        <w:ind w:left="0" w:right="709"/>
        <w:jc w:val="both"/>
      </w:pPr>
      <w:r>
        <w:rPr>
          <w:rFonts w:ascii="Calibri" w:hAnsi="Calibri" w:cs="Arial"/>
          <w:rtl/>
          <w:sz w:val="24"/>
          <w:szCs w:val="24"/>
        </w:rPr>
        <w:t xml:space="preserve">2.4. التسليم لشركة مرخصة</w:t>
      </w:r>
    </w:p>
    <w:p>
      <w:pPr>
        <w:pStyle w:val="ListeParagraf"/>
        <w:bidi/>
        <w:spacing w:after="80"/>
        <w:ind w:left="0" w:right="709"/>
        <w:jc w:val="both"/>
      </w:pPr>
      <w:r>
        <w:rPr>
          <w:rFonts w:ascii="Calibri" w:hAnsi="Calibri" w:cs="Arial"/>
          <w:rtl/>
          <w:sz w:val="24"/>
          <w:szCs w:val="24"/>
        </w:rPr>
        <w:t xml:space="preserve">2.5. تسجيل مستندات التسليم والكمية</w:t>
      </w:r>
    </w:p>
    <w:p>
      <w:pPr>
        <w:pStyle w:val="ListeParagraf"/>
        <w:bidi/>
        <w:spacing w:before="120" w:after="60"/>
        <w:ind w:left="0" w:right="709"/>
        <w:jc w:val="both"/>
      </w:pPr>
      <w:r>
        <w:rPr>
          <w:rFonts w:ascii="Calibri" w:hAnsi="Calibri" w:cs="Arial"/>
          <w:b/>
          <w:bCs/>
          <w:rtl/>
          <w:sz w:val="24"/>
          <w:szCs w:val="24"/>
        </w:rPr>
        <w:t xml:space="preserve">3. الفحوصات قبل العمل وأثناءه</w:t>
      </w:r>
    </w:p>
    <w:p>
      <w:pPr>
        <w:pStyle w:val="ListeParagraf"/>
        <w:bidi/>
        <w:spacing w:after="80"/>
        <w:ind w:left="0" w:right="709"/>
        <w:jc w:val="both"/>
      </w:pPr>
      <w:r>
        <w:rPr>
          <w:rFonts w:ascii="Calibri" w:hAnsi="Calibri" w:cs="Arial"/>
          <w:rtl/>
          <w:sz w:val="24"/>
          <w:szCs w:val="24"/>
        </w:rPr>
        <w:t xml:space="preserve">3.1. الحاويات بألوان مميزة ومتعلّمة؟</w:t>
      </w:r>
    </w:p>
    <w:p>
      <w:pPr>
        <w:pStyle w:val="ListeParagraf"/>
        <w:bidi/>
        <w:spacing w:after="80"/>
        <w:ind w:left="0" w:right="709"/>
        <w:jc w:val="both"/>
      </w:pPr>
      <w:r>
        <w:rPr>
          <w:rFonts w:ascii="Calibri" w:hAnsi="Calibri" w:cs="Arial"/>
          <w:rtl/>
          <w:sz w:val="24"/>
          <w:szCs w:val="24"/>
        </w:rPr>
        <w:t xml:space="preserve">3.2. منطقة النفايات الخطرة مقفولة وآمنة؟</w:t>
      </w:r>
    </w:p>
    <w:p>
      <w:pPr>
        <w:pStyle w:val="ListeParagraf"/>
        <w:bidi/>
        <w:spacing w:after="80"/>
        <w:ind w:left="0" w:right="709"/>
        <w:jc w:val="both"/>
      </w:pPr>
      <w:r>
        <w:rPr>
          <w:rFonts w:ascii="Calibri" w:hAnsi="Calibri" w:cs="Arial"/>
          <w:rtl/>
          <w:sz w:val="24"/>
          <w:szCs w:val="24"/>
        </w:rPr>
        <w:t xml:space="preserve">3.3. مستندات تسليم النفايات كاملة؟</w:t>
      </w:r>
    </w:p>
    <w:p>
      <w:pPr>
        <w:pStyle w:val="ListeParagraf"/>
        <w:bidi/>
        <w:spacing w:after="80"/>
        <w:ind w:left="0" w:right="709"/>
        <w:jc w:val="both"/>
      </w:pPr>
      <w:r>
        <w:rPr>
          <w:rFonts w:ascii="Calibri" w:hAnsi="Calibri" w:cs="Arial"/>
          <w:rtl/>
          <w:sz w:val="24"/>
          <w:szCs w:val="24"/>
        </w:rPr>
        <w:t xml:space="preserve">3.4. نتايج تحليل مياه الصرف في الحدود المسموحة؟</w:t>
      </w:r>
    </w:p>
    <w:p>
      <w:pPr>
        <w:pStyle w:val="ListeParagraf"/>
        <w:bidi/>
        <w:spacing w:before="120" w:after="60"/>
        <w:ind w:left="0" w:right="709"/>
        <w:jc w:val="both"/>
      </w:pPr>
      <w:r>
        <w:rPr>
          <w:rFonts w:ascii="Calibri" w:hAnsi="Calibri" w:cs="Arial"/>
          <w:b/>
          <w:bCs/>
          <w:rtl/>
          <w:sz w:val="24"/>
          <w:szCs w:val="24"/>
        </w:rPr>
        <w:t xml:space="preserve">4. المحظورات</w:t>
      </w:r>
    </w:p>
    <w:p>
      <w:pPr>
        <w:pStyle w:val="ListeParagraf"/>
        <w:numPr>
          <w:ilvl w:val="0"/>
          <w:numId w:val="1"/>
        </w:numPr>
        <w:bidi/>
        <w:spacing w:after="60"/>
        <w:jc w:val="both"/>
      </w:pPr>
      <w:r>
        <w:rPr>
          <w:rFonts w:ascii="Calibri" w:hAnsi="Calibri" w:cs="Arial"/>
          <w:rtl/>
          <w:sz w:val="24"/>
          <w:szCs w:val="24"/>
        </w:rPr>
        <w:t xml:space="preserve">لا تخلط المواد العضوية والتقليدية في المنطقة دي، ولا على نفس البالتة أو العربية أو الترابيزة أو الكرتونة.</w:t>
      </w:r>
    </w:p>
    <w:p>
      <w:pPr>
        <w:pStyle w:val="ListeParagraf"/>
        <w:numPr>
          <w:ilvl w:val="0"/>
          <w:numId w:val="1"/>
        </w:numPr>
        <w:bidi/>
        <w:spacing w:after="60"/>
        <w:jc w:val="both"/>
      </w:pPr>
      <w:r>
        <w:rPr>
          <w:rFonts w:ascii="Calibri" w:hAnsi="Calibri" w:cs="Arial"/>
          <w:rtl/>
          <w:sz w:val="24"/>
          <w:szCs w:val="24"/>
        </w:rPr>
        <w:t xml:space="preserve">لا تدخّل مادة من غير ملصق أو مشكوك في حالتها للمنطقة.</w:t>
      </w:r>
    </w:p>
    <w:p>
      <w:pPr>
        <w:pStyle w:val="ListeParagraf"/>
        <w:numPr>
          <w:ilvl w:val="0"/>
          <w:numId w:val="1"/>
        </w:numPr>
        <w:bidi/>
        <w:spacing w:after="60"/>
        <w:jc w:val="both"/>
      </w:pPr>
      <w:r>
        <w:rPr>
          <w:rFonts w:ascii="Calibri" w:hAnsi="Calibri" w:cs="Arial"/>
          <w:rtl/>
          <w:sz w:val="24"/>
          <w:szCs w:val="24"/>
        </w:rPr>
        <w:t xml:space="preserve">لا تشيل ولا تغطّي ولا تغيّر لافتات المنطقة أو الملصقات الخضراء.</w:t>
      </w:r>
    </w:p>
    <w:p>
      <w:pPr>
        <w:pStyle w:val="ListeParagraf"/>
        <w:bidi/>
        <w:spacing w:before="120" w:after="60"/>
        <w:ind w:left="0" w:right="709"/>
        <w:jc w:val="both"/>
      </w:pPr>
      <w:r>
        <w:rPr>
          <w:rFonts w:ascii="Calibri" w:hAnsi="Calibri" w:cs="Arial"/>
          <w:b/>
          <w:bCs/>
          <w:rtl/>
          <w:sz w:val="24"/>
          <w:szCs w:val="24"/>
        </w:rPr>
        <w:t xml:space="preserve">5. في حالة وجود مشكلة</w:t>
      </w:r>
    </w:p>
    <w:p>
      <w:pPr>
        <w:pStyle w:val="ListeParagraf"/>
        <w:bidi/>
        <w:spacing w:after="80"/>
        <w:ind w:left="0" w:right="709"/>
        <w:jc w:val="both"/>
      </w:pPr>
      <w:r>
        <w:rPr>
          <w:rFonts w:ascii="Calibri" w:hAnsi="Calibri" w:cs="Arial"/>
          <w:rtl/>
          <w:sz w:val="24"/>
          <w:szCs w:val="24"/>
        </w:rPr>
        <w:t xml:space="preserve">5.1. لو المواد العضوية والتقليدية اتخلطت، أو حالة مادة مشكوك فيها، وقّف الشغل، وانقل المادة لمنطقة الانتظار الصفراء، وبلّغ منسق OCS فوراً.</w:t>
      </w:r>
    </w:p>
    <w:p>
      <w:pPr>
        <w:pStyle w:val="ListeParagraf"/>
        <w:bidi/>
        <w:spacing w:after="80"/>
        <w:ind w:left="0" w:right="709"/>
        <w:jc w:val="both"/>
      </w:pPr>
      <w:r>
        <w:rPr>
          <w:rFonts w:ascii="Calibri" w:hAnsi="Calibri" w:cs="Arial"/>
          <w:rtl/>
          <w:sz w:val="24"/>
          <w:szCs w:val="24"/>
        </w:rPr>
        <w:t xml:space="preserve">5.2. سجّل الحالة في نموذج إشعار المنتج العضوي غير المطابق والحجز (EMS.OR.FRM.21.23). المنتج غير المطابق بيروح لمنطقة الحجز الحمراء وما بيتباعش على إنه عضوي أبداً.</w:t>
      </w:r>
    </w:p>
    <w:p>
      <w:pPr>
        <w:pStyle w:val="ListeParagraf"/>
        <w:bidi/>
        <w:spacing w:before="120" w:after="60"/>
        <w:ind w:left="0" w:right="709"/>
        <w:jc w:val="both"/>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EMS.OR.POL.21.01. سياسة المحتوى العضوي</w:t>
      </w:r>
    </w:p>
    <w:p>
      <w:pPr>
        <w:pStyle w:val="ListeParagraf"/>
        <w:numPr>
          <w:ilvl w:val="0"/>
          <w:numId w:val="1"/>
        </w:numPr>
        <w:bidi/>
        <w:spacing w:after="60"/>
        <w:jc w:val="both"/>
      </w:pPr>
      <w:r>
        <w:rPr>
          <w:rFonts w:ascii="Calibri" w:hAnsi="Calibri" w:cs="Arial"/>
          <w:rtl/>
          <w:sz w:val="24"/>
          <w:szCs w:val="24"/>
        </w:rPr>
        <w:t xml:space="preserve">EMS.OR.PRO.21.01. إجراء مناولة مواد OCS وفصلها وتتبعها</w:t>
      </w:r>
    </w:p>
    <w:p>
      <w:pPr>
        <w:pStyle w:val="ListeParagraf"/>
        <w:numPr>
          <w:ilvl w:val="0"/>
          <w:numId w:val="1"/>
        </w:numPr>
        <w:bidi/>
        <w:spacing w:after="60"/>
        <w:jc w:val="both"/>
      </w:pPr>
      <w:r>
        <w:rPr>
          <w:rFonts w:ascii="Calibri" w:hAnsi="Calibri" w:cs="Arial"/>
          <w:rtl/>
          <w:sz w:val="24"/>
          <w:szCs w:val="24"/>
        </w:rPr>
        <w:t xml:space="preserve">EMS.OR.PRO.21.02. إجراء فصل مناطق الإنتاج العضوي وتمييزها بصرياً</w:t>
      </w:r>
    </w:p>
    <w:p>
      <w:pPr>
        <w:pStyle w:val="ListeParagraf"/>
        <w:numPr>
          <w:ilvl w:val="0"/>
          <w:numId w:val="1"/>
        </w:numPr>
        <w:bidi/>
        <w:spacing w:after="60"/>
        <w:jc w:val="both"/>
      </w:pPr>
      <w:r>
        <w:rPr>
          <w:rFonts w:ascii="Calibri" w:hAnsi="Calibri" w:cs="Arial"/>
          <w:rtl/>
          <w:sz w:val="24"/>
          <w:szCs w:val="24"/>
        </w:rPr>
        <w:t xml:space="preserve">EMS.OR.TL.21.01. تعليمات تمييز المنتجات العضوية وتوسيمها</w:t>
      </w:r>
    </w:p>
    <w:p>
      <w:pPr>
        <w:pStyle w:val="ListeParagraf"/>
        <w:numPr>
          <w:ilvl w:val="0"/>
          <w:numId w:val="1"/>
        </w:numPr>
        <w:bidi/>
        <w:spacing w:after="60"/>
        <w:jc w:val="both"/>
      </w:pPr>
      <w:r>
        <w:rPr>
          <w:rFonts w:ascii="Calibri" w:hAnsi="Calibri" w:cs="Arial"/>
          <w:rtl/>
          <w:sz w:val="24"/>
          <w:szCs w:val="24"/>
        </w:rPr>
        <w:t xml:space="preserve">EMS.OR.TL.21.02. تعليمات التنظيف عند تبديل المنطقة العضوية وتفريغ الخط</w:t>
      </w:r>
    </w:p>
    <w:p>
      <w:pPr>
        <w:pStyle w:val="ListeParagraf"/>
        <w:numPr>
          <w:ilvl w:val="0"/>
          <w:numId w:val="1"/>
        </w:numPr>
        <w:bidi/>
        <w:spacing w:after="60"/>
        <w:jc w:val="both"/>
      </w:pPr>
      <w:r>
        <w:rPr>
          <w:rFonts w:ascii="Calibri" w:hAnsi="Calibri" w:cs="Arial"/>
          <w:rtl/>
          <w:sz w:val="24"/>
          <w:szCs w:val="24"/>
        </w:rPr>
        <w:t xml:space="preserve">EMS.OR.FRM.21.21. سجل النفايات والفرز العضوي</w:t>
      </w:r>
    </w:p>
    <w:p>
      <w:pPr>
        <w:pStyle w:val="ListeParagraf"/>
        <w:numPr>
          <w:ilvl w:val="0"/>
          <w:numId w:val="1"/>
        </w:numPr>
        <w:bidi/>
        <w:spacing w:after="60"/>
        <w:jc w:val="both"/>
      </w:pPr>
      <w:r>
        <w:rPr>
          <w:rFonts w:ascii="Calibri" w:hAnsi="Calibri" w:cs="Arial"/>
          <w:rtl/>
          <w:sz w:val="24"/>
          <w:szCs w:val="24"/>
        </w:rPr>
        <w:t xml:space="preserve">EMS.OR.FRM.21.23. نموذج إشعار المنتج العضوي غير المطابق والحجز</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7. المتابعة والمراجعة</w:t>
      </w:r>
    </w:p>
    <w:p>
      <w:pPr>
        <w:pStyle w:val="ListeParagraf"/>
        <w:bidi/>
        <w:spacing w:after="80"/>
        <w:ind w:left="0" w:right="709"/>
        <w:jc w:val="both"/>
      </w:pPr>
      <w:r>
        <w:rPr>
          <w:rFonts w:ascii="Calibri" w:hAnsi="Calibri" w:cs="Arial"/>
          <w:rtl/>
          <w:sz w:val="24"/>
          <w:szCs w:val="24"/>
        </w:rPr>
        <w:t xml:space="preserve">مسؤول البيئة بيتحقق من تطبيق التعليمات دي كل يوم، ومنسق OCS بيراجع السجلات كل شهر. وبتتراجع التعليمات مرة في السنة على الأقل، وكمان لما بيتغير معيار GOTS أو OCS أو متطلبات العملاء أو تخطيط المنطقة.</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OCS / GOTS Koordinatörü (Sürdürülebilirlik / Kalite)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ORGANIC WASTE AND SEGREGATION AREA INSTRUCTION</w:t>
          </w:r>
        </w:p>
        <w:p>
          <w:pPr>
            <w:pStyle w:val="GvdeMetni2"/>
            <w:bidi/>
            <w:spacing w:line="276" w:lineRule="auto"/>
            <w:jc w:val="center"/>
          </w:pPr>
          <w:r>
            <w:rPr>
              <w:rFonts w:asciiTheme="minorHAnsi" w:hAnsiTheme="minorHAnsi" w:cs="Arial"/>
              <w:b/>
              <w:bCs/>
              <w:color w:val="000000" w:themeColor="text1"/>
              <w:sz w:val="22"/>
              <w:szCs w:val="22"/>
              <w:rtl/>
            </w:rPr>
            <w:t>تعليمات منطقة الفرز والنفايات العضوية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EMS.OR.TL.21.16.</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2</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22.10.2026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EMS.OR.TL.21.01. ORGANIC PRODUCT IDENTIFICATION AND LABELLING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