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ListeParagraf"/>
        <w:spacing w:before="120" w:after="60"/>
        <w:ind w:left="709" w:right="0"/>
      </w:pPr>
      <w:r>
        <w:rPr>
          <w:rFonts w:ascii="Calibri" w:hAnsi="Calibri" w:cs="Arial"/>
          <w:b/>
          <w:bCs/>
          <w:sz w:val="24"/>
          <w:szCs w:val="24"/>
        </w:rPr>
        <w:t xml:space="preserve">PURPOSE</w:t>
      </w:r>
    </w:p>
    <w:p>
      <w:pPr>
        <w:pStyle w:val="ListeParagraf"/>
        <w:spacing w:after="80"/>
        <w:ind w:left="709" w:right="0"/>
        <w:jc w:val="both"/>
      </w:pPr>
      <w:r>
        <w:rPr>
          <w:rFonts w:ascii="Calibri" w:hAnsi="Calibri" w:cs="Arial"/>
          <w:sz w:val="24"/>
          <w:szCs w:val="24"/>
        </w:rPr>
        <w:t xml:space="preserve">This procedure defines how Eroglu Knitting (EMS) identifies, evaluates and prioritises the risks and opportunities arising from its context, interested party requirements, processes and customer orders, and how actions are planned, implemented and checked for effectiveness, in line with ISO 9001:2015 (clause 6.1), ISO 14001 and ISO 45001.</w:t>
      </w:r>
    </w:p>
    <w:p>
      <w:pPr>
        <w:pStyle w:val="ListeParagraf"/>
        <w:spacing w:after="80"/>
        <w:ind w:left="709" w:right="0"/>
        <w:jc w:val="both"/>
      </w:pPr>
    </w:p>
    <w:p>
      <w:pPr>
        <w:pStyle w:val="ListeParagraf"/>
        <w:spacing w:before="120" w:after="60"/>
        <w:ind w:left="709" w:right="0"/>
      </w:pPr>
      <w:r>
        <w:rPr>
          <w:rFonts w:ascii="Calibri" w:hAnsi="Calibri" w:cs="Arial"/>
          <w:b/>
          <w:bCs/>
          <w:sz w:val="24"/>
          <w:szCs w:val="24"/>
        </w:rPr>
        <w:t xml:space="preserve">SCOPE</w:t>
      </w:r>
    </w:p>
    <w:p>
      <w:pPr>
        <w:pStyle w:val="ListeParagraf"/>
        <w:spacing w:after="80"/>
        <w:ind w:left="709" w:right="0"/>
        <w:jc w:val="both"/>
      </w:pPr>
      <w:r>
        <w:rPr>
          <w:rFonts w:ascii="Calibri" w:hAnsi="Calibri" w:cs="Arial"/>
          <w:sz w:val="24"/>
          <w:szCs w:val="24"/>
        </w:rPr>
        <w:t xml:space="preserve">This procedure covers business and management system level risks and opportunities of all EMS departments and processes, and the order-level (post-order) risk analysis carried out for customer orders before production. Detailed operational assessments (OHS hazards, environmental aspects, chemical risks and security risks) are carried out under their own procedures and their significant results are carried into this process.</w:t>
      </w:r>
    </w:p>
    <w:p>
      <w:pPr>
        <w:pStyle w:val="ListeParagraf"/>
        <w:spacing w:after="80"/>
        <w:ind w:left="709" w:right="0"/>
        <w:jc w:val="both"/>
      </w:pPr>
    </w:p>
    <w:p>
      <w:pPr>
        <w:pStyle w:val="ListeParagraf"/>
        <w:spacing w:before="120" w:after="60"/>
        <w:ind w:left="709" w:right="0"/>
      </w:pPr>
      <w:r>
        <w:rPr>
          <w:rFonts w:ascii="Calibri" w:hAnsi="Calibri" w:cs="Arial"/>
          <w:b/>
          <w:bCs/>
          <w:sz w:val="24"/>
          <w:szCs w:val="24"/>
        </w:rPr>
        <w:t xml:space="preserve">RESPONSIBILITIES</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General Manager:</w:t>
      </w:r>
      <w:r>
        <w:rPr>
          <w:rFonts w:ascii="Calibri" w:hAnsi="Calibri" w:cs="Arial"/>
          <w:sz w:val="24"/>
          <w:szCs w:val="24"/>
        </w:rPr>
        <w:t xml:space="preserve"> Approves the Risk and Opportunity Register, decides on high risks and provides resources for the actions.</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Management System Representative:</w:t>
      </w:r>
      <w:r>
        <w:rPr>
          <w:rFonts w:ascii="Calibri" w:hAnsi="Calibri" w:cs="Arial"/>
          <w:sz w:val="24"/>
          <w:szCs w:val="24"/>
        </w:rPr>
        <w:t xml:space="preserve"> Coordinates the process, maintains the register, follows up actions and reports to the management review.</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Department Managers:</w:t>
      </w:r>
      <w:r>
        <w:rPr>
          <w:rFonts w:ascii="Calibri" w:hAnsi="Calibri" w:cs="Arial"/>
          <w:sz w:val="24"/>
          <w:szCs w:val="24"/>
        </w:rPr>
        <w:t xml:space="preserve"> Identify the risks and opportunities of their processes, propose and implement actions and report their status every quarter.</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Quality Assurance Manager:</w:t>
      </w:r>
      <w:r>
        <w:rPr>
          <w:rFonts w:ascii="Calibri" w:hAnsi="Calibri" w:cs="Arial"/>
          <w:sz w:val="24"/>
          <w:szCs w:val="24"/>
        </w:rPr>
        <w:t xml:space="preserve"> Leads the post-order risk analysis for customer orders and verifies that control measures are in place before production.</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HSE, Quality, CSR and Security Managers:</w:t>
      </w:r>
      <w:r>
        <w:rPr>
          <w:rFonts w:ascii="Calibri" w:hAnsi="Calibri" w:cs="Arial"/>
          <w:sz w:val="24"/>
          <w:szCs w:val="24"/>
        </w:rPr>
        <w:t xml:space="preserve"> Transfer the significant results of their specialised risk assessments to the register.</w:t>
      </w:r>
    </w:p>
    <w:p>
      <w:pPr>
        <w:pStyle w:val="ListeParagraf"/>
        <w:spacing w:after="80"/>
        <w:ind w:left="709" w:right="0"/>
        <w:jc w:val="both"/>
      </w:pPr>
    </w:p>
    <w:p>
      <w:pPr>
        <w:pStyle w:val="ListeParagraf"/>
        <w:spacing w:before="120" w:after="60"/>
        <w:ind w:left="709" w:right="0"/>
      </w:pPr>
      <w:r>
        <w:rPr>
          <w:rFonts w:ascii="Calibri" w:hAnsi="Calibri" w:cs="Arial"/>
          <w:b/>
          <w:bCs/>
          <w:sz w:val="24"/>
          <w:szCs w:val="24"/>
        </w:rPr>
        <w:t xml:space="preserve">DEFINITIONS</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Risk:</w:t>
      </w:r>
      <w:r>
        <w:rPr>
          <w:rFonts w:ascii="Calibri" w:hAnsi="Calibri" w:cs="Arial"/>
          <w:sz w:val="24"/>
          <w:szCs w:val="24"/>
        </w:rPr>
        <w:t xml:space="preserve"> The effect of uncertainty; a possible event that may prevent EMS from achieving its objectives or intended results.</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Opportunity:</w:t>
      </w:r>
      <w:r>
        <w:rPr>
          <w:rFonts w:ascii="Calibri" w:hAnsi="Calibri" w:cs="Arial"/>
          <w:sz w:val="24"/>
          <w:szCs w:val="24"/>
        </w:rPr>
        <w:t xml:space="preserve"> A situation that can lead to better performance, new business, cost savings or improvement.</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Likelihood:</w:t>
      </w:r>
      <w:r>
        <w:rPr>
          <w:rFonts w:ascii="Calibri" w:hAnsi="Calibri" w:cs="Arial"/>
          <w:sz w:val="24"/>
          <w:szCs w:val="24"/>
        </w:rPr>
        <w:t xml:space="preserve"> The probability that the risk will occur, scored from 1 (very unlikely) to 5 (almost certain).</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Severity:</w:t>
      </w:r>
      <w:r>
        <w:rPr>
          <w:rFonts w:ascii="Calibri" w:hAnsi="Calibri" w:cs="Arial"/>
          <w:sz w:val="24"/>
          <w:szCs w:val="24"/>
        </w:rPr>
        <w:t xml:space="preserve"> The size of the consequence if the risk occurs, scored from 1 (negligible) to 5 (very serious).</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Risk Score:</w:t>
      </w:r>
      <w:r>
        <w:rPr>
          <w:rFonts w:ascii="Calibri" w:hAnsi="Calibri" w:cs="Arial"/>
          <w:sz w:val="24"/>
          <w:szCs w:val="24"/>
        </w:rPr>
        <w:t xml:space="preserve"> Likelihood × Severity, used to prioritise risks.</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Residual Risk:</w:t>
      </w:r>
      <w:r>
        <w:rPr>
          <w:rFonts w:ascii="Calibri" w:hAnsi="Calibri" w:cs="Arial"/>
          <w:sz w:val="24"/>
          <w:szCs w:val="24"/>
        </w:rPr>
        <w:t xml:space="preserve"> The risk score that remains after the control measures are applied.</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Post-Order Risk Analysis:</w:t>
      </w:r>
      <w:r>
        <w:rPr>
          <w:rFonts w:ascii="Calibri" w:hAnsi="Calibri" w:cs="Arial"/>
          <w:sz w:val="24"/>
          <w:szCs w:val="24"/>
        </w:rPr>
        <w:t xml:space="preserve"> The scoring of the quality, delivery, material and compliance risks of an accepted customer order before production starts.</w:t>
      </w:r>
    </w:p>
    <w:p>
      <w:pPr>
        <w:pStyle w:val="ListeParagraf"/>
        <w:spacing w:after="80"/>
        <w:ind w:left="709" w:right="0"/>
        <w:jc w:val="both"/>
      </w:pPr>
    </w:p>
    <w:p>
      <w:pPr>
        <w:pStyle w:val="ListeParagraf"/>
        <w:spacing w:before="120" w:after="60"/>
        <w:ind w:left="709" w:right="0"/>
      </w:pPr>
      <w:r>
        <w:rPr>
          <w:rFonts w:ascii="Calibri" w:hAnsi="Calibri" w:cs="Arial"/>
          <w:b/>
          <w:bCs/>
          <w:sz w:val="24"/>
          <w:szCs w:val="24"/>
        </w:rPr>
        <w:t xml:space="preserve">MAIN AND SUB PROCESSES</w:t>
      </w:r>
    </w:p>
    <w:p>
      <w:pPr>
        <w:pStyle w:val="ListeParagraf"/>
        <w:spacing w:before="120" w:after="60"/>
        <w:ind w:left="709" w:right="0"/>
      </w:pPr>
      <w:r>
        <w:rPr>
          <w:rFonts w:ascii="Calibri" w:hAnsi="Calibri" w:cs="Arial"/>
          <w:b/>
          <w:bCs/>
          <w:sz w:val="24"/>
          <w:szCs w:val="24"/>
        </w:rPr>
        <w:t xml:space="preserve">1. IDENTIFYING RISKS AND OPPORTUNITIES</w:t>
      </w:r>
    </w:p>
    <w:p>
      <w:pPr>
        <w:pStyle w:val="ListeParagraf"/>
        <w:spacing w:after="80"/>
        <w:ind w:left="709" w:right="0"/>
        <w:jc w:val="both"/>
      </w:pPr>
      <w:r>
        <w:rPr>
          <w:rFonts w:ascii="Calibri" w:hAnsi="Calibri" w:cs="Arial"/>
          <w:sz w:val="24"/>
          <w:szCs w:val="24"/>
        </w:rPr>
        <w:t xml:space="preserve">1.1. Each department identifies its risks and opportunities at least once a year, using as inputs:</w:t>
      </w:r>
    </w:p>
    <w:p>
      <w:pPr>
        <w:pStyle w:val="ListeParagraf"/>
        <w:numPr>
          <w:ilvl w:val="0"/>
          <w:numId w:val="1"/>
        </w:numPr>
        <w:spacing w:after="60"/>
        <w:jc w:val="both"/>
      </w:pPr>
      <w:r>
        <w:rPr>
          <w:rFonts w:ascii="Calibri" w:hAnsi="Calibri" w:cs="Arial"/>
          <w:sz w:val="24"/>
          <w:szCs w:val="24"/>
        </w:rPr>
        <w:t xml:space="preserve">The context analysis and the interested parties register (EMS.YS.PRO.11.03.),</w:t>
      </w:r>
    </w:p>
    <w:p>
      <w:pPr>
        <w:pStyle w:val="ListeParagraf"/>
        <w:numPr>
          <w:ilvl w:val="0"/>
          <w:numId w:val="1"/>
        </w:numPr>
        <w:spacing w:after="60"/>
        <w:jc w:val="both"/>
      </w:pPr>
      <w:r>
        <w:rPr>
          <w:rFonts w:ascii="Calibri" w:hAnsi="Calibri" w:cs="Arial"/>
          <w:sz w:val="24"/>
          <w:szCs w:val="24"/>
        </w:rPr>
        <w:t xml:space="preserve">Process performance, KPIs, customer complaints and audit findings,</w:t>
      </w:r>
    </w:p>
    <w:p>
      <w:pPr>
        <w:pStyle w:val="ListeParagraf"/>
        <w:numPr>
          <w:ilvl w:val="0"/>
          <w:numId w:val="1"/>
        </w:numPr>
        <w:spacing w:after="60"/>
        <w:jc w:val="both"/>
      </w:pPr>
      <w:r>
        <w:rPr>
          <w:rFonts w:ascii="Calibri" w:hAnsi="Calibri" w:cs="Arial"/>
          <w:sz w:val="24"/>
          <w:szCs w:val="24"/>
        </w:rPr>
        <w:t xml:space="preserve">Significant environmental aspects, OHS risks, chemical and security risk assessments,</w:t>
      </w:r>
    </w:p>
    <w:p>
      <w:pPr>
        <w:pStyle w:val="ListeParagraf"/>
        <w:numPr>
          <w:ilvl w:val="0"/>
          <w:numId w:val="1"/>
        </w:numPr>
        <w:spacing w:after="60"/>
        <w:jc w:val="both"/>
      </w:pPr>
      <w:r>
        <w:rPr>
          <w:rFonts w:ascii="Calibri" w:hAnsi="Calibri" w:cs="Arial"/>
          <w:sz w:val="24"/>
          <w:szCs w:val="24"/>
        </w:rPr>
        <w:t xml:space="preserve">Planned changes (new customer, product, machine, process, building or legal requirement).</w:t>
      </w:r>
    </w:p>
    <w:p>
      <w:pPr>
        <w:pStyle w:val="ListeParagraf"/>
        <w:spacing w:after="80"/>
        <w:ind w:left="709" w:right="0"/>
        <w:jc w:val="both"/>
      </w:pPr>
      <w:r>
        <w:rPr>
          <w:rFonts w:ascii="Calibri" w:hAnsi="Calibri" w:cs="Arial"/>
          <w:sz w:val="24"/>
          <w:szCs w:val="24"/>
        </w:rPr>
        <w:t xml:space="preserve">1.2. Typical risks include loss of a key customer, late delivery, shade or quality failures, RSL test failure, breakdown of critical utilities, shortage of skilled workers, social compliance violations, chemical spills and security breaches.</w:t>
      </w:r>
    </w:p>
    <w:p>
      <w:pPr>
        <w:pStyle w:val="ListeParagraf"/>
        <w:spacing w:after="80"/>
        <w:ind w:left="709" w:right="0"/>
        <w:jc w:val="both"/>
      </w:pPr>
      <w:r>
        <w:rPr>
          <w:rFonts w:ascii="Calibri" w:hAnsi="Calibri" w:cs="Arial"/>
          <w:sz w:val="24"/>
          <w:szCs w:val="24"/>
        </w:rPr>
        <w:t xml:space="preserve">1.3. Typical opportunities include new markets and certified products (GRS, OCS), energy and water savings, automation, multi-skilling and digital tracking systems.</w:t>
      </w:r>
    </w:p>
    <w:p>
      <w:pPr>
        <w:pStyle w:val="ListeParagraf"/>
        <w:spacing w:after="80"/>
        <w:ind w:left="709" w:right="0"/>
        <w:jc w:val="both"/>
      </w:pPr>
      <w:r>
        <w:rPr>
          <w:rFonts w:ascii="Calibri" w:hAnsi="Calibri" w:cs="Arial"/>
          <w:sz w:val="24"/>
          <w:szCs w:val="24"/>
        </w:rPr>
        <w:t xml:space="preserve">1.4. Risks and opportunities are recorded in the Risk and Opportunity Register with the process, description, cause, effect, existing controls and owner.</w:t>
      </w:r>
    </w:p>
    <w:p>
      <w:pPr>
        <w:pStyle w:val="ListeParagraf"/>
        <w:spacing w:after="80"/>
        <w:ind w:left="709" w:right="0"/>
        <w:jc w:val="both"/>
      </w:pPr>
    </w:p>
    <w:p>
      <w:pPr>
        <w:pStyle w:val="ListeParagraf"/>
        <w:spacing w:before="120" w:after="60"/>
        <w:ind w:left="709" w:right="0"/>
      </w:pPr>
      <w:r>
        <w:rPr>
          <w:rFonts w:ascii="Calibri" w:hAnsi="Calibri" w:cs="Arial"/>
          <w:b/>
          <w:bCs/>
          <w:sz w:val="24"/>
          <w:szCs w:val="24"/>
        </w:rPr>
        <w:t xml:space="preserve">2. EVALUATING AND PRIORITISING</w:t>
      </w:r>
    </w:p>
    <w:p>
      <w:pPr>
        <w:pStyle w:val="ListeParagraf"/>
        <w:spacing w:after="80"/>
        <w:ind w:left="709" w:right="0"/>
        <w:jc w:val="both"/>
      </w:pPr>
      <w:r>
        <w:rPr>
          <w:rFonts w:ascii="Calibri" w:hAnsi="Calibri" w:cs="Arial"/>
          <w:sz w:val="24"/>
          <w:szCs w:val="24"/>
        </w:rPr>
        <w:t xml:space="preserve">2.1. Each risk is scored using Likelihood (1-5) × Severity (1-5), taking existing controls into account:</w:t>
      </w:r>
    </w:p>
    <w:p>
      <w:pPr>
        <w:pStyle w:val="ListeParagraf"/>
        <w:numPr>
          <w:ilvl w:val="0"/>
          <w:numId w:val="1"/>
        </w:numPr>
        <w:spacing w:after="60"/>
        <w:jc w:val="both"/>
      </w:pPr>
      <w:r>
        <w:rPr>
          <w:rFonts w:ascii="Calibri" w:hAnsi="Calibri" w:cs="Arial"/>
          <w:sz w:val="24"/>
          <w:szCs w:val="24"/>
        </w:rPr>
        <w:t xml:space="preserve">1-6: Low risk – monitored within existing controls,</w:t>
      </w:r>
    </w:p>
    <w:p>
      <w:pPr>
        <w:pStyle w:val="ListeParagraf"/>
        <w:numPr>
          <w:ilvl w:val="0"/>
          <w:numId w:val="1"/>
        </w:numPr>
        <w:spacing w:after="60"/>
        <w:jc w:val="both"/>
      </w:pPr>
      <w:r>
        <w:rPr>
          <w:rFonts w:ascii="Calibri" w:hAnsi="Calibri" w:cs="Arial"/>
          <w:sz w:val="24"/>
          <w:szCs w:val="24"/>
        </w:rPr>
        <w:t xml:space="preserve">8-12: Medium risk – an action plan is prepared within three months,</w:t>
      </w:r>
    </w:p>
    <w:p>
      <w:pPr>
        <w:pStyle w:val="ListeParagraf"/>
        <w:numPr>
          <w:ilvl w:val="0"/>
          <w:numId w:val="1"/>
        </w:numPr>
        <w:spacing w:after="60"/>
        <w:jc w:val="both"/>
      </w:pPr>
      <w:r>
        <w:rPr>
          <w:rFonts w:ascii="Calibri" w:hAnsi="Calibri" w:cs="Arial"/>
          <w:sz w:val="24"/>
          <w:szCs w:val="24"/>
        </w:rPr>
        <w:t xml:space="preserve">15-25: High risk – immediate action is planned and approved by the General Manager.</w:t>
      </w:r>
    </w:p>
    <w:p>
      <w:pPr>
        <w:pStyle w:val="ListeParagraf"/>
        <w:spacing w:after="80"/>
        <w:ind w:left="709" w:right="0"/>
        <w:jc w:val="both"/>
      </w:pPr>
      <w:r>
        <w:rPr>
          <w:rFonts w:ascii="Calibri" w:hAnsi="Calibri" w:cs="Arial"/>
          <w:sz w:val="24"/>
          <w:szCs w:val="24"/>
        </w:rPr>
        <w:t xml:space="preserve">2.2. Opportunities are evaluated by expected benefit, cost and feasibility (High / Medium / Low) and prioritised by management.</w:t>
      </w:r>
    </w:p>
    <w:p>
      <w:pPr>
        <w:pStyle w:val="ListeParagraf"/>
        <w:spacing w:after="80"/>
        <w:ind w:left="709" w:right="0"/>
        <w:jc w:val="both"/>
      </w:pPr>
      <w:r>
        <w:rPr>
          <w:rFonts w:ascii="Calibri" w:hAnsi="Calibri" w:cs="Arial"/>
          <w:sz w:val="24"/>
          <w:szCs w:val="24"/>
        </w:rPr>
        <w:t xml:space="preserve">2.3. Risks related to product safety, chemical compliance and customer social-compliance requirements are always evaluated at least as Medium, unless a documented control proves otherwise.</w:t>
      </w:r>
    </w:p>
    <w:p>
      <w:pPr>
        <w:pStyle w:val="ListeParagraf"/>
        <w:spacing w:after="80"/>
        <w:ind w:left="709" w:right="0"/>
        <w:jc w:val="both"/>
      </w:pPr>
    </w:p>
    <w:p>
      <w:pPr>
        <w:pStyle w:val="ListeParagraf"/>
        <w:spacing w:before="120" w:after="60"/>
        <w:ind w:left="709" w:right="0"/>
      </w:pPr>
      <w:r>
        <w:rPr>
          <w:rFonts w:ascii="Calibri" w:hAnsi="Calibri" w:cs="Arial"/>
          <w:b/>
          <w:bCs/>
          <w:sz w:val="24"/>
          <w:szCs w:val="24"/>
        </w:rPr>
        <w:t xml:space="preserve">3. ORDER-LEVEL (POST-ORDER) RISK ANALYSIS</w:t>
      </w:r>
    </w:p>
    <w:p>
      <w:pPr>
        <w:pStyle w:val="ListeParagraf"/>
        <w:spacing w:after="80"/>
        <w:ind w:left="709" w:right="0"/>
        <w:jc w:val="both"/>
      </w:pPr>
      <w:r>
        <w:rPr>
          <w:rFonts w:ascii="Calibri" w:hAnsi="Calibri" w:cs="Arial"/>
          <w:sz w:val="24"/>
          <w:szCs w:val="24"/>
        </w:rPr>
        <w:t xml:space="preserve">3.1. For each accepted customer order and before production, Quality Assurance holds a risk analysis meeting with Merchandising, Planning, Production and Laboratory (TLM-ONH-02), according to EMS.ÜR.PRO.05.03.</w:t>
      </w:r>
    </w:p>
    <w:p>
      <w:pPr>
        <w:pStyle w:val="ListeParagraf"/>
        <w:spacing w:after="80"/>
        <w:ind w:left="709" w:right="0"/>
        <w:jc w:val="both"/>
      </w:pPr>
      <w:r>
        <w:rPr>
          <w:rFonts w:ascii="Calibri" w:hAnsi="Calibri" w:cs="Arial"/>
          <w:sz w:val="24"/>
          <w:szCs w:val="24"/>
        </w:rPr>
        <w:t xml:space="preserve">3.2. The quality, delivery, material availability, compliance and new process risks of the order are scored with the same Likelihood × Severity method and recorded on the Post-Order Risk Analysis Record (EMS.QA.FRM.00.01).</w:t>
      </w:r>
    </w:p>
    <w:p>
      <w:pPr>
        <w:pStyle w:val="ListeParagraf"/>
        <w:spacing w:after="80"/>
        <w:ind w:left="709" w:right="0"/>
        <w:jc w:val="both"/>
      </w:pPr>
      <w:r>
        <w:rPr>
          <w:rFonts w:ascii="Calibri" w:hAnsi="Calibri" w:cs="Arial"/>
          <w:sz w:val="24"/>
          <w:szCs w:val="24"/>
        </w:rPr>
        <w:t xml:space="preserve">3.3. For each high risk, the control measure, the responsible person and the deadline are recorded on the Risk Analysis Record (EMS.QA.FRM.00.02).</w:t>
      </w:r>
    </w:p>
    <w:p>
      <w:pPr>
        <w:pStyle w:val="ListeParagraf"/>
        <w:spacing w:after="80"/>
        <w:ind w:left="709" w:right="0"/>
        <w:jc w:val="both"/>
      </w:pPr>
      <w:r>
        <w:rPr>
          <w:rFonts w:ascii="Calibri" w:hAnsi="Calibri" w:cs="Arial"/>
          <w:sz w:val="24"/>
          <w:szCs w:val="24"/>
        </w:rPr>
        <w:t xml:space="preserve">3.4. A high-risk order does not start production before the action plan is approved; significant repeating order risks are transferred to the Risk and Opportunity Register.</w:t>
      </w:r>
    </w:p>
    <w:p>
      <w:pPr>
        <w:pStyle w:val="ListeParagraf"/>
        <w:spacing w:after="80"/>
        <w:ind w:left="709" w:right="0"/>
        <w:jc w:val="both"/>
      </w:pPr>
    </w:p>
    <w:p>
      <w:pPr>
        <w:pStyle w:val="ListeParagraf"/>
        <w:spacing w:before="120" w:after="60"/>
        <w:ind w:left="709" w:right="0"/>
      </w:pPr>
      <w:r>
        <w:rPr>
          <w:rFonts w:ascii="Calibri" w:hAnsi="Calibri" w:cs="Arial"/>
          <w:b/>
          <w:bCs/>
          <w:sz w:val="24"/>
          <w:szCs w:val="24"/>
        </w:rPr>
        <w:t xml:space="preserve">4. PLANNING AND IMPLEMENTING ACTIONS</w:t>
      </w:r>
    </w:p>
    <w:p>
      <w:pPr>
        <w:pStyle w:val="ListeParagraf"/>
        <w:spacing w:after="80"/>
        <w:ind w:left="709" w:right="0"/>
        <w:jc w:val="both"/>
      </w:pPr>
      <w:r>
        <w:rPr>
          <w:rFonts w:ascii="Calibri" w:hAnsi="Calibri" w:cs="Arial"/>
          <w:sz w:val="24"/>
          <w:szCs w:val="24"/>
        </w:rPr>
        <w:t xml:space="preserve">4.1. For medium and high risks and selected opportunities, actions are defined in the Risk and Opportunity Register with the responsible person, deadline and required resources.</w:t>
      </w:r>
    </w:p>
    <w:p>
      <w:pPr>
        <w:pStyle w:val="ListeParagraf"/>
        <w:spacing w:after="80"/>
        <w:ind w:left="709" w:right="0"/>
        <w:jc w:val="both"/>
      </w:pPr>
      <w:r>
        <w:rPr>
          <w:rFonts w:ascii="Calibri" w:hAnsi="Calibri" w:cs="Arial"/>
          <w:sz w:val="24"/>
          <w:szCs w:val="24"/>
        </w:rPr>
        <w:t xml:space="preserve">4.2. Actions are proportionate to the potential impact and are integrated into objectives, budgets, procedures and maintenance or training plans where possible.</w:t>
      </w:r>
    </w:p>
    <w:p>
      <w:pPr>
        <w:pStyle w:val="ListeParagraf"/>
        <w:spacing w:after="80"/>
        <w:ind w:left="709" w:right="0"/>
        <w:jc w:val="both"/>
      </w:pPr>
      <w:r>
        <w:rPr>
          <w:rFonts w:ascii="Calibri" w:hAnsi="Calibri" w:cs="Arial"/>
          <w:sz w:val="24"/>
          <w:szCs w:val="24"/>
        </w:rPr>
        <w:t xml:space="preserve">4.3. Planned changes are evaluated for their risks before implementation (EMS.İS.PRO.18.17).</w:t>
      </w:r>
    </w:p>
    <w:p>
      <w:pPr>
        <w:pStyle w:val="ListeParagraf"/>
        <w:spacing w:after="80"/>
        <w:ind w:left="709" w:right="0"/>
        <w:jc w:val="both"/>
      </w:pPr>
      <w:r>
        <w:rPr>
          <w:rFonts w:ascii="Calibri" w:hAnsi="Calibri" w:cs="Arial"/>
          <w:sz w:val="24"/>
          <w:szCs w:val="24"/>
        </w:rPr>
        <w:t xml:space="preserve">4.4. Department managers report the status of their actions to the Management System Representative every quarter.</w:t>
      </w:r>
    </w:p>
    <w:p>
      <w:pPr>
        <w:pStyle w:val="ListeParagraf"/>
        <w:spacing w:after="80"/>
        <w:ind w:left="709" w:right="0"/>
        <w:jc w:val="both"/>
      </w:pPr>
    </w:p>
    <w:p>
      <w:pPr>
        <w:pStyle w:val="ListeParagraf"/>
        <w:spacing w:before="120" w:after="60"/>
        <w:ind w:left="709" w:right="0"/>
      </w:pPr>
      <w:r>
        <w:rPr>
          <w:rFonts w:ascii="Calibri" w:hAnsi="Calibri" w:cs="Arial"/>
          <w:b/>
          <w:bCs/>
          <w:sz w:val="24"/>
          <w:szCs w:val="24"/>
        </w:rPr>
        <w:t xml:space="preserve">5. EVALUATING EFFECTIVENESS</w:t>
      </w:r>
    </w:p>
    <w:p>
      <w:pPr>
        <w:pStyle w:val="ListeParagraf"/>
        <w:spacing w:after="80"/>
        <w:ind w:left="709" w:right="0"/>
        <w:jc w:val="both"/>
      </w:pPr>
      <w:r>
        <w:rPr>
          <w:rFonts w:ascii="Calibri" w:hAnsi="Calibri" w:cs="Arial"/>
          <w:sz w:val="24"/>
          <w:szCs w:val="24"/>
        </w:rPr>
        <w:t xml:space="preserve">5.1. After an action is completed, the risk is re-scored; the action is effective if the residual score has dropped to an acceptable level (Low, or Medium with an approved justification).</w:t>
      </w:r>
    </w:p>
    <w:p>
      <w:pPr>
        <w:pStyle w:val="ListeParagraf"/>
        <w:spacing w:after="80"/>
        <w:ind w:left="709" w:right="0"/>
        <w:jc w:val="both"/>
      </w:pPr>
      <w:r>
        <w:rPr>
          <w:rFonts w:ascii="Calibri" w:hAnsi="Calibri" w:cs="Arial"/>
          <w:sz w:val="24"/>
          <w:szCs w:val="24"/>
        </w:rPr>
        <w:t xml:space="preserve">5.2. If the action is not effective, a new action is defined and the case is reported to the General Manager.</w:t>
      </w:r>
    </w:p>
    <w:p>
      <w:pPr>
        <w:pStyle w:val="ListeParagraf"/>
        <w:spacing w:after="80"/>
        <w:ind w:left="709" w:right="0"/>
        <w:jc w:val="both"/>
      </w:pPr>
      <w:r>
        <w:rPr>
          <w:rFonts w:ascii="Calibri" w:hAnsi="Calibri" w:cs="Arial"/>
          <w:sz w:val="24"/>
          <w:szCs w:val="24"/>
        </w:rPr>
        <w:t xml:space="preserve">5.3. When a risk occurs (incident, complaint, nonconformity), a corrective action is opened according to EMS.YS.PRO.11.02 and the register is updated.</w:t>
      </w:r>
    </w:p>
    <w:p>
      <w:pPr>
        <w:pStyle w:val="ListeParagraf"/>
        <w:spacing w:after="80"/>
        <w:ind w:left="709" w:right="0"/>
        <w:jc w:val="both"/>
      </w:pPr>
    </w:p>
    <w:p>
      <w:pPr>
        <w:pStyle w:val="ListeParagraf"/>
        <w:spacing w:before="120" w:after="60"/>
        <w:ind w:left="709" w:right="0"/>
      </w:pPr>
      <w:r>
        <w:rPr>
          <w:rFonts w:ascii="Calibri" w:hAnsi="Calibri" w:cs="Arial"/>
          <w:b/>
          <w:bCs/>
          <w:sz w:val="24"/>
          <w:szCs w:val="24"/>
        </w:rPr>
        <w:t xml:space="preserve">6. REVIEW AND UPDATE</w:t>
      </w:r>
    </w:p>
    <w:p>
      <w:pPr>
        <w:pStyle w:val="ListeParagraf"/>
        <w:spacing w:after="80"/>
        <w:ind w:left="709" w:right="0"/>
        <w:jc w:val="both"/>
      </w:pPr>
      <w:r>
        <w:rPr>
          <w:rFonts w:ascii="Calibri" w:hAnsi="Calibri" w:cs="Arial"/>
          <w:sz w:val="24"/>
          <w:szCs w:val="24"/>
        </w:rPr>
        <w:t xml:space="preserve">6.1. The register is reviewed at least once a year and also after a significant change, incident, customer complaint or serious audit finding.</w:t>
      </w:r>
    </w:p>
    <w:p>
      <w:pPr>
        <w:pStyle w:val="ListeParagraf"/>
        <w:spacing w:after="80"/>
        <w:ind w:left="709" w:right="0"/>
        <w:jc w:val="both"/>
      </w:pPr>
      <w:r>
        <w:rPr>
          <w:rFonts w:ascii="Calibri" w:hAnsi="Calibri" w:cs="Arial"/>
          <w:sz w:val="24"/>
          <w:szCs w:val="24"/>
        </w:rPr>
        <w:t xml:space="preserve">6.2. The status of risks, opportunities and actions is presented as an input to the management review (EMS.YS.PRO.11.05).</w:t>
      </w:r>
    </w:p>
    <w:p>
      <w:pPr>
        <w:pStyle w:val="ListeParagraf"/>
        <w:spacing w:after="80"/>
        <w:ind w:left="709" w:right="0"/>
        <w:jc w:val="both"/>
      </w:pPr>
    </w:p>
    <w:p>
      <w:pPr>
        <w:pStyle w:val="ListeParagraf"/>
        <w:spacing w:before="120" w:after="60"/>
        <w:ind w:left="709" w:right="0"/>
      </w:pPr>
      <w:r>
        <w:rPr>
          <w:rFonts w:ascii="Calibri" w:hAnsi="Calibri" w:cs="Arial"/>
          <w:b/>
          <w:bCs/>
          <w:sz w:val="24"/>
          <w:szCs w:val="24"/>
        </w:rPr>
        <w:t xml:space="preserve">7. MONITORING AND PERFORMANCE</w:t>
      </w:r>
    </w:p>
    <w:p>
      <w:pPr>
        <w:pStyle w:val="ListeParagraf"/>
        <w:spacing w:after="80"/>
        <w:ind w:left="709" w:right="0"/>
        <w:jc w:val="both"/>
      </w:pPr>
      <w:r>
        <w:rPr>
          <w:rFonts w:ascii="Calibri" w:hAnsi="Calibri" w:cs="Arial"/>
          <w:sz w:val="24"/>
          <w:szCs w:val="24"/>
        </w:rPr>
        <w:t xml:space="preserve">7.1. The following indicators are monitored:</w:t>
      </w:r>
    </w:p>
    <w:p>
      <w:pPr>
        <w:pStyle w:val="ListeParagraf"/>
        <w:numPr>
          <w:ilvl w:val="0"/>
          <w:numId w:val="1"/>
        </w:numPr>
        <w:spacing w:after="60"/>
        <w:jc w:val="both"/>
      </w:pPr>
      <w:r>
        <w:rPr>
          <w:rFonts w:ascii="Calibri" w:hAnsi="Calibri" w:cs="Arial"/>
          <w:sz w:val="24"/>
          <w:szCs w:val="24"/>
        </w:rPr>
        <w:t xml:space="preserve">Number of open high risks and their trend,</w:t>
      </w:r>
    </w:p>
    <w:p>
      <w:pPr>
        <w:pStyle w:val="ListeParagraf"/>
        <w:numPr>
          <w:ilvl w:val="0"/>
          <w:numId w:val="1"/>
        </w:numPr>
        <w:spacing w:after="60"/>
        <w:jc w:val="both"/>
      </w:pPr>
      <w:r>
        <w:rPr>
          <w:rFonts w:ascii="Calibri" w:hAnsi="Calibri" w:cs="Arial"/>
          <w:sz w:val="24"/>
          <w:szCs w:val="24"/>
        </w:rPr>
        <w:t xml:space="preserve">Percentage of actions completed on time (target: at least 90%),</w:t>
      </w:r>
    </w:p>
    <w:p>
      <w:pPr>
        <w:pStyle w:val="ListeParagraf"/>
        <w:numPr>
          <w:ilvl w:val="0"/>
          <w:numId w:val="1"/>
        </w:numPr>
        <w:spacing w:after="60"/>
        <w:jc w:val="both"/>
      </w:pPr>
      <w:r>
        <w:rPr>
          <w:rFonts w:ascii="Calibri" w:hAnsi="Calibri" w:cs="Arial"/>
          <w:sz w:val="24"/>
          <w:szCs w:val="24"/>
        </w:rPr>
        <w:t xml:space="preserve">Percentage of actions found effective at re-evaluation,</w:t>
      </w:r>
    </w:p>
    <w:p>
      <w:pPr>
        <w:pStyle w:val="ListeParagraf"/>
        <w:numPr>
          <w:ilvl w:val="0"/>
          <w:numId w:val="1"/>
        </w:numPr>
        <w:spacing w:after="60"/>
        <w:jc w:val="both"/>
      </w:pPr>
      <w:r>
        <w:rPr>
          <w:rFonts w:ascii="Calibri" w:hAnsi="Calibri" w:cs="Arial"/>
          <w:sz w:val="24"/>
          <w:szCs w:val="24"/>
        </w:rPr>
        <w:t xml:space="preserve">Number of opportunities realised during the year,</w:t>
      </w:r>
    </w:p>
    <w:p>
      <w:pPr>
        <w:pStyle w:val="ListeParagraf"/>
        <w:numPr>
          <w:ilvl w:val="0"/>
          <w:numId w:val="1"/>
        </w:numPr>
        <w:spacing w:after="60"/>
        <w:jc w:val="both"/>
      </w:pPr>
      <w:r>
        <w:rPr>
          <w:rFonts w:ascii="Calibri" w:hAnsi="Calibri" w:cs="Arial"/>
          <w:sz w:val="24"/>
          <w:szCs w:val="24"/>
        </w:rPr>
        <w:t xml:space="preserve">Number of orders started without post-order risk analysis (target: 0).</w:t>
      </w:r>
    </w:p>
    <w:p>
      <w:pPr>
        <w:pStyle w:val="ListeParagraf"/>
        <w:spacing w:after="80"/>
        <w:ind w:left="709" w:right="0"/>
        <w:jc w:val="both"/>
      </w:pPr>
      <w:r>
        <w:rPr>
          <w:rFonts w:ascii="Calibri" w:hAnsi="Calibri" w:cs="Arial"/>
          <w:sz w:val="24"/>
          <w:szCs w:val="24"/>
        </w:rPr>
        <w:t xml:space="preserve">7.2. Targets are defined in the company policy and are updated when necessary.</w:t>
      </w:r>
    </w:p>
    <w:p>
      <w:pPr>
        <w:pStyle w:val="ListeParagraf"/>
        <w:spacing w:after="80"/>
        <w:ind w:left="709" w:right="0"/>
        <w:jc w:val="both"/>
      </w:pPr>
    </w:p>
    <w:p>
      <w:pPr>
        <w:pStyle w:val="ListeParagraf"/>
        <w:spacing w:before="120" w:after="60"/>
        <w:ind w:left="709" w:right="0"/>
      </w:pPr>
      <w:r>
        <w:rPr>
          <w:rFonts w:ascii="Calibri" w:hAnsi="Calibri" w:cs="Arial"/>
          <w:b/>
          <w:bCs/>
          <w:sz w:val="24"/>
          <w:szCs w:val="24"/>
        </w:rPr>
        <w:t xml:space="preserve">8. RELATED DOCUMENTS AND RECORDS</w:t>
      </w:r>
    </w:p>
    <w:p>
      <w:pPr>
        <w:pStyle w:val="ListeParagraf"/>
        <w:numPr>
          <w:ilvl w:val="0"/>
          <w:numId w:val="1"/>
        </w:numPr>
        <w:spacing w:after="60"/>
        <w:jc w:val="both"/>
      </w:pPr>
      <w:r>
        <w:rPr>
          <w:rFonts w:ascii="Calibri" w:hAnsi="Calibri" w:cs="Arial"/>
          <w:sz w:val="24"/>
          <w:szCs w:val="24"/>
        </w:rPr>
        <w:t xml:space="preserve">Risk and Opportunity Register</w:t>
      </w:r>
    </w:p>
    <w:p>
      <w:pPr>
        <w:pStyle w:val="ListeParagraf"/>
        <w:numPr>
          <w:ilvl w:val="0"/>
          <w:numId w:val="1"/>
        </w:numPr>
        <w:spacing w:after="60"/>
        <w:jc w:val="both"/>
      </w:pPr>
      <w:r>
        <w:rPr>
          <w:rFonts w:ascii="Calibri" w:hAnsi="Calibri" w:cs="Arial"/>
          <w:sz w:val="24"/>
          <w:szCs w:val="24"/>
        </w:rPr>
        <w:t xml:space="preserve">Action Follow-up List</w:t>
      </w:r>
    </w:p>
    <w:p>
      <w:pPr>
        <w:pStyle w:val="ListeParagraf"/>
        <w:numPr>
          <w:ilvl w:val="0"/>
          <w:numId w:val="1"/>
        </w:numPr>
        <w:spacing w:after="60"/>
        <w:jc w:val="both"/>
      </w:pPr>
      <w:r>
        <w:rPr>
          <w:rFonts w:ascii="Calibri" w:hAnsi="Calibri" w:cs="Arial"/>
          <w:sz w:val="24"/>
          <w:szCs w:val="24"/>
        </w:rPr>
        <w:t xml:space="preserve">EMS.QA.FRM.00.01. Post-Order Risk Analysis Record</w:t>
      </w:r>
    </w:p>
    <w:p>
      <w:pPr>
        <w:pStyle w:val="ListeParagraf"/>
        <w:numPr>
          <w:ilvl w:val="0"/>
          <w:numId w:val="1"/>
        </w:numPr>
        <w:spacing w:after="60"/>
        <w:jc w:val="both"/>
      </w:pPr>
      <w:r>
        <w:rPr>
          <w:rFonts w:ascii="Calibri" w:hAnsi="Calibri" w:cs="Arial"/>
          <w:sz w:val="24"/>
          <w:szCs w:val="24"/>
        </w:rPr>
        <w:t xml:space="preserve">EMS.QA.FRM.00.02. Risk Analysis Record</w:t>
      </w:r>
    </w:p>
    <w:p>
      <w:pPr>
        <w:pStyle w:val="ListeParagraf"/>
        <w:numPr>
          <w:ilvl w:val="0"/>
          <w:numId w:val="1"/>
        </w:numPr>
        <w:spacing w:after="60"/>
        <w:jc w:val="both"/>
      </w:pPr>
      <w:r>
        <w:rPr>
          <w:rFonts w:ascii="Calibri" w:hAnsi="Calibri" w:cs="Arial"/>
          <w:sz w:val="24"/>
          <w:szCs w:val="24"/>
        </w:rPr>
        <w:t xml:space="preserve">PRS-ONH-02 Risk Analysis Procedure; TLM-ONH-02 Risk analysis meeting instruction</w:t>
      </w:r>
    </w:p>
    <w:p>
      <w:pPr>
        <w:pStyle w:val="ListeParagraf"/>
        <w:numPr>
          <w:ilvl w:val="0"/>
          <w:numId w:val="1"/>
        </w:numPr>
        <w:spacing w:after="60"/>
        <w:jc w:val="both"/>
      </w:pPr>
      <w:r>
        <w:rPr>
          <w:rFonts w:ascii="Calibri" w:hAnsi="Calibri" w:cs="Arial"/>
          <w:sz w:val="24"/>
          <w:szCs w:val="24"/>
        </w:rPr>
        <w:t xml:space="preserve">EMS.ÜR.PRO.05.03. Order (Contract) Review Procedure</w:t>
      </w:r>
    </w:p>
    <w:p>
      <w:pPr>
        <w:pStyle w:val="ListeParagraf"/>
        <w:numPr>
          <w:ilvl w:val="0"/>
          <w:numId w:val="1"/>
        </w:numPr>
        <w:spacing w:after="60"/>
        <w:jc w:val="both"/>
      </w:pPr>
      <w:r>
        <w:rPr>
          <w:rFonts w:ascii="Calibri" w:hAnsi="Calibri" w:cs="Arial"/>
          <w:sz w:val="24"/>
          <w:szCs w:val="24"/>
        </w:rPr>
        <w:t xml:space="preserve">EMS.YS.PRO.11.03. Context of The Organization and Interested Parties Procedure</w:t>
      </w:r>
    </w:p>
    <w:p>
      <w:pPr>
        <w:pStyle w:val="ListeParagraf"/>
        <w:numPr>
          <w:ilvl w:val="0"/>
          <w:numId w:val="1"/>
        </w:numPr>
        <w:spacing w:after="60"/>
        <w:jc w:val="both"/>
      </w:pPr>
      <w:r>
        <w:rPr>
          <w:rFonts w:ascii="Calibri" w:hAnsi="Calibri" w:cs="Arial"/>
          <w:sz w:val="24"/>
          <w:szCs w:val="24"/>
        </w:rPr>
        <w:t xml:space="preserve">EMS.YS.PRO.11.02. Internal Audit, Nonconformity and Corrective Action Procedure</w:t>
      </w:r>
    </w:p>
    <w:p>
      <w:pPr>
        <w:pStyle w:val="ListeParagraf"/>
        <w:numPr>
          <w:ilvl w:val="0"/>
          <w:numId w:val="1"/>
        </w:numPr>
        <w:spacing w:after="60"/>
        <w:jc w:val="both"/>
      </w:pPr>
      <w:r>
        <w:rPr>
          <w:rFonts w:ascii="Calibri" w:hAnsi="Calibri" w:cs="Arial"/>
          <w:sz w:val="24"/>
          <w:szCs w:val="24"/>
        </w:rPr>
        <w:t xml:space="preserve">EMS.YS.PRO.11.05. Management Review Procedure</w:t>
      </w:r>
    </w:p>
    <w:p>
      <w:pPr>
        <w:pStyle w:val="ListeParagraf"/>
        <w:numPr>
          <w:ilvl w:val="0"/>
          <w:numId w:val="1"/>
        </w:numPr>
        <w:spacing w:after="60"/>
        <w:jc w:val="both"/>
      </w:pPr>
      <w:r>
        <w:rPr>
          <w:rFonts w:ascii="Calibri" w:hAnsi="Calibri" w:cs="Arial"/>
          <w:sz w:val="24"/>
          <w:szCs w:val="24"/>
        </w:rPr>
        <w:t xml:space="preserve">EMS.ÇV.PRO.19.01. Environmental Aspects and Impacts Evaluation Procedure</w:t>
      </w:r>
    </w:p>
    <w:p>
      <w:pPr>
        <w:pStyle w:val="ListeParagraf"/>
        <w:numPr>
          <w:ilvl w:val="0"/>
          <w:numId w:val="1"/>
        </w:numPr>
        <w:spacing w:after="60"/>
        <w:jc w:val="both"/>
      </w:pPr>
      <w:r>
        <w:rPr>
          <w:rFonts w:ascii="Calibri" w:hAnsi="Calibri" w:cs="Arial"/>
          <w:sz w:val="24"/>
          <w:szCs w:val="24"/>
        </w:rPr>
        <w:t xml:space="preserve">EMS.İS.PRO.18.01. Hazard Identification and Risk Assessment Procedure</w:t>
      </w:r>
    </w:p>
    <w:p>
      <w:pPr>
        <w:pStyle w:val="ListeParagraf"/>
        <w:numPr>
          <w:ilvl w:val="0"/>
          <w:numId w:val="1"/>
        </w:numPr>
        <w:spacing w:after="60"/>
        <w:jc w:val="both"/>
      </w:pPr>
      <w:r>
        <w:rPr>
          <w:rFonts w:ascii="Calibri" w:hAnsi="Calibri" w:cs="Arial"/>
          <w:sz w:val="24"/>
          <w:szCs w:val="24"/>
        </w:rPr>
        <w:t xml:space="preserve">EMS.İS.PRO.18.17. Management of Change Procedure</w:t>
      </w:r>
    </w:p>
    <w:p>
      <w:pPr>
        <w:pStyle w:val="ListeParagraf"/>
        <w:numPr>
          <w:ilvl w:val="0"/>
          <w:numId w:val="1"/>
        </w:numPr>
        <w:spacing w:after="60"/>
        <w:jc w:val="both"/>
      </w:pPr>
      <w:r>
        <w:rPr>
          <w:rFonts w:ascii="Calibri" w:hAnsi="Calibri" w:cs="Arial"/>
          <w:sz w:val="24"/>
          <w:szCs w:val="24"/>
        </w:rPr>
        <w:t xml:space="preserve">EMS.İD.PRO.03.06. Security Risk Assessment and Personnel Security Procedure</w:t>
      </w:r>
    </w:p>
    <w:p>
      <w:pPr>
        <w:pStyle w:val="ListeParagraf"/>
        <w:spacing w:after="80"/>
        <w:ind w:left="709" w:right="0"/>
        <w:jc w:val="both"/>
      </w:pPr>
    </w:p>
    <w:p>
      <w:pPr>
        <w:pStyle w:val="ListeParagraf"/>
        <w:spacing w:before="120" w:after="60"/>
        <w:ind w:left="709" w:right="0"/>
      </w:pPr>
      <w:r>
        <w:rPr>
          <w:rFonts w:ascii="Calibri" w:hAnsi="Calibri" w:cs="Arial"/>
          <w:b/>
          <w:bCs/>
          <w:sz w:val="24"/>
          <w:szCs w:val="24"/>
        </w:rPr>
        <w:t xml:space="preserve">9. FEEDBACK AND FOLLOW-UP</w:t>
      </w:r>
    </w:p>
    <w:p>
      <w:pPr>
        <w:pStyle w:val="ListeParagraf"/>
        <w:spacing w:after="80"/>
        <w:ind w:left="709" w:right="0"/>
        <w:jc w:val="both"/>
      </w:pPr>
      <w:r>
        <w:rPr>
          <w:rFonts w:ascii="Calibri" w:hAnsi="Calibri" w:cs="Arial"/>
          <w:sz w:val="24"/>
          <w:szCs w:val="24"/>
        </w:rPr>
        <w:t xml:space="preserve">This procedure is reviewed every year by the Management System Representative. Feedback from department managers, audit results and changes in the context are evaluated and the procedure is revised when necessary. Records are kept for three years.</w:t>
      </w:r>
    </w:p>
    <w:p>
      <w:r>
        <w:br w:type="page"/>
      </w:r>
    </w:p>
    <w:p>
      <w:pPr>
        <w:pStyle w:val="ListeParagraf"/>
        <w:bidi/>
        <w:spacing w:before="120" w:after="60"/>
        <w:ind w:left="0" w:right="709"/>
      </w:pPr>
      <w:r>
        <w:rPr>
          <w:rFonts w:ascii="Calibri" w:hAnsi="Calibri" w:cs="Arial"/>
          <w:b/>
          <w:bCs/>
          <w:rtl/>
          <w:sz w:val="24"/>
          <w:szCs w:val="24"/>
        </w:rPr>
        <w:t xml:space="preserve">الغرض</w:t>
      </w:r>
    </w:p>
    <w:p>
      <w:pPr>
        <w:pStyle w:val="ListeParagraf"/>
        <w:bidi/>
        <w:spacing w:after="80"/>
        <w:ind w:left="0" w:right="709"/>
        <w:jc w:val="both"/>
      </w:pPr>
      <w:r>
        <w:rPr>
          <w:rFonts w:ascii="Calibri" w:hAnsi="Calibri" w:cs="Arial"/>
          <w:rtl/>
          <w:sz w:val="24"/>
          <w:szCs w:val="24"/>
        </w:rPr>
        <w:t xml:space="preserve">يحدد هذا الإجراء كيفية قيام شركة إيروغلو للتريكو (EMS) بتحديد المخاطر والفرص الناشئة عن سياقها ومتطلبات الأطراف المعنية وعملياتها وطلبيات العملاء وتقييمها وترتيب أولوياتها، وكيفية تخطيط الإجراءات وتنفيذها والتحقق من فعاليتها، بما يتوافق مع ISO 9001:2015 (البند 6.1) وISO 14001 وISO 45001.</w:t>
      </w:r>
    </w:p>
    <w:p>
      <w:pPr>
        <w:pStyle w:val="ListeParagraf"/>
        <w:bidi/>
        <w:spacing w:after="80"/>
        <w:ind w:left="0" w:right="709"/>
        <w:jc w:val="both"/>
      </w:pPr>
    </w:p>
    <w:p>
      <w:pPr>
        <w:pStyle w:val="ListeParagraf"/>
        <w:bidi/>
        <w:spacing w:before="120" w:after="60"/>
        <w:ind w:left="0" w:right="709"/>
      </w:pPr>
      <w:r>
        <w:rPr>
          <w:rFonts w:ascii="Calibri" w:hAnsi="Calibri" w:cs="Arial"/>
          <w:b/>
          <w:bCs/>
          <w:rtl/>
          <w:sz w:val="24"/>
          <w:szCs w:val="24"/>
        </w:rPr>
        <w:t xml:space="preserve">النطاق</w:t>
      </w:r>
    </w:p>
    <w:p>
      <w:pPr>
        <w:pStyle w:val="ListeParagraf"/>
        <w:bidi/>
        <w:spacing w:after="80"/>
        <w:ind w:left="0" w:right="709"/>
        <w:jc w:val="both"/>
      </w:pPr>
      <w:r>
        <w:rPr>
          <w:rFonts w:ascii="Calibri" w:hAnsi="Calibri" w:cs="Arial"/>
          <w:rtl/>
          <w:sz w:val="24"/>
          <w:szCs w:val="24"/>
        </w:rPr>
        <w:t xml:space="preserve">يشمل هذا الإجراء مخاطر وفرص الأعمال ونظام الإدارة لجميع أقسام EMS وعملياتها، وتحليل المخاطر على مستوى الطلبية (بعد الطلبية) الذي يُجرى لطلبيات العملاء قبل الإنتاج. أما التقييمات التشغيلية التفصيلية (مخاطر الصحة والسلامة المهنية، والجوانب البيئية، والمخاطر الكيميائية، والمخاطر الأمنية) فتُنفذ وفق إجراءاتها الخاصة، وتُنقل نتائجها الهامة إلى هذه العملية.</w:t>
      </w:r>
    </w:p>
    <w:p>
      <w:pPr>
        <w:pStyle w:val="ListeParagraf"/>
        <w:bidi/>
        <w:spacing w:after="80"/>
        <w:ind w:left="0" w:right="709"/>
        <w:jc w:val="both"/>
      </w:pPr>
    </w:p>
    <w:p>
      <w:pPr>
        <w:pStyle w:val="ListeParagraf"/>
        <w:bidi/>
        <w:spacing w:before="120" w:after="60"/>
        <w:ind w:left="0" w:right="709"/>
      </w:pPr>
      <w:r>
        <w:rPr>
          <w:rFonts w:ascii="Calibri" w:hAnsi="Calibri" w:cs="Arial"/>
          <w:b/>
          <w:bCs/>
          <w:rtl/>
          <w:sz w:val="24"/>
          <w:szCs w:val="24"/>
        </w:rPr>
        <w:t xml:space="preserve">المسؤوليات</w:t>
      </w:r>
    </w:p>
    <w:p>
      <w:pPr>
        <w:pStyle w:val="ListeParagraf"/>
        <w:bidi/>
        <w:spacing w:after="80"/>
        <w:ind w:left="0" w:right="709"/>
        <w:jc w:val="both"/>
      </w:pPr>
      <w:r>
        <w:rPr>
          <w:rFonts w:ascii="Calibri" w:hAnsi="Calibri" w:cs="Arial"/>
          <w:rtl/>
          <w:sz w:val="24"/>
          <w:szCs w:val="24"/>
        </w:rPr>
        <w:t xml:space="preserve">• </w:t>
      </w:r>
      <w:r>
        <w:rPr>
          <w:rFonts w:ascii="Calibri" w:hAnsi="Calibri" w:cs="Arial"/>
          <w:b/>
          <w:bCs/>
          <w:rtl/>
          <w:sz w:val="24"/>
          <w:szCs w:val="24"/>
        </w:rPr>
        <w:t xml:space="preserve">المدير العام:</w:t>
      </w:r>
      <w:r>
        <w:rPr>
          <w:rFonts w:ascii="Calibri" w:hAnsi="Calibri" w:cs="Arial"/>
          <w:rtl/>
          <w:sz w:val="24"/>
          <w:szCs w:val="24"/>
        </w:rPr>
        <w:t xml:space="preserve"> يعتمد سجل المخاطر والفرص، ويتخذ القرار بشأن المخاطر المرتفعة، ويوفر الموارد اللازمة للإجراءات.</w:t>
      </w:r>
    </w:p>
    <w:p>
      <w:pPr>
        <w:pStyle w:val="ListeParagraf"/>
        <w:bidi/>
        <w:spacing w:after="80"/>
        <w:ind w:left="0" w:right="709"/>
        <w:jc w:val="both"/>
      </w:pPr>
      <w:r>
        <w:rPr>
          <w:rFonts w:ascii="Calibri" w:hAnsi="Calibri" w:cs="Arial"/>
          <w:rtl/>
          <w:sz w:val="24"/>
          <w:szCs w:val="24"/>
        </w:rPr>
        <w:t xml:space="preserve">• </w:t>
      </w:r>
      <w:r>
        <w:rPr>
          <w:rFonts w:ascii="Calibri" w:hAnsi="Calibri" w:cs="Arial"/>
          <w:b/>
          <w:bCs/>
          <w:rtl/>
          <w:sz w:val="24"/>
          <w:szCs w:val="24"/>
        </w:rPr>
        <w:t xml:space="preserve">ممثل نظام الإدارة:</w:t>
      </w:r>
      <w:r>
        <w:rPr>
          <w:rFonts w:ascii="Calibri" w:hAnsi="Calibri" w:cs="Arial"/>
          <w:rtl/>
          <w:sz w:val="24"/>
          <w:szCs w:val="24"/>
        </w:rPr>
        <w:t xml:space="preserve"> ينسق العملية، ويحتفظ بالسجل، ويتابع الإجراءات، ويرفع التقارير إلى مراجعة الإدارة.</w:t>
      </w:r>
    </w:p>
    <w:p>
      <w:pPr>
        <w:pStyle w:val="ListeParagraf"/>
        <w:bidi/>
        <w:spacing w:after="80"/>
        <w:ind w:left="0" w:right="709"/>
        <w:jc w:val="both"/>
      </w:pPr>
      <w:r>
        <w:rPr>
          <w:rFonts w:ascii="Calibri" w:hAnsi="Calibri" w:cs="Arial"/>
          <w:rtl/>
          <w:sz w:val="24"/>
          <w:szCs w:val="24"/>
        </w:rPr>
        <w:t xml:space="preserve">• </w:t>
      </w:r>
      <w:r>
        <w:rPr>
          <w:rFonts w:ascii="Calibri" w:hAnsi="Calibri" w:cs="Arial"/>
          <w:b/>
          <w:bCs/>
          <w:rtl/>
          <w:sz w:val="24"/>
          <w:szCs w:val="24"/>
        </w:rPr>
        <w:t xml:space="preserve">مديرو الأقسام:</w:t>
      </w:r>
      <w:r>
        <w:rPr>
          <w:rFonts w:ascii="Calibri" w:hAnsi="Calibri" w:cs="Arial"/>
          <w:rtl/>
          <w:sz w:val="24"/>
          <w:szCs w:val="24"/>
        </w:rPr>
        <w:t xml:space="preserve"> يحددون مخاطر عملياتهم وفرصها، ويقترحون الإجراءات وينفذونها، ويبلغون عن حالتها كل ثلاثة أشهر.</w:t>
      </w:r>
    </w:p>
    <w:p>
      <w:pPr>
        <w:pStyle w:val="ListeParagraf"/>
        <w:bidi/>
        <w:spacing w:after="80"/>
        <w:ind w:left="0" w:right="709"/>
        <w:jc w:val="both"/>
      </w:pPr>
      <w:r>
        <w:rPr>
          <w:rFonts w:ascii="Calibri" w:hAnsi="Calibri" w:cs="Arial"/>
          <w:rtl/>
          <w:sz w:val="24"/>
          <w:szCs w:val="24"/>
        </w:rPr>
        <w:t xml:space="preserve">• </w:t>
      </w:r>
      <w:r>
        <w:rPr>
          <w:rFonts w:ascii="Calibri" w:hAnsi="Calibri" w:cs="Arial"/>
          <w:b/>
          <w:bCs/>
          <w:rtl/>
          <w:sz w:val="24"/>
          <w:szCs w:val="24"/>
        </w:rPr>
        <w:t xml:space="preserve">مدير ضمان الجودة:</w:t>
      </w:r>
      <w:r>
        <w:rPr>
          <w:rFonts w:ascii="Calibri" w:hAnsi="Calibri" w:cs="Arial"/>
          <w:rtl/>
          <w:sz w:val="24"/>
          <w:szCs w:val="24"/>
        </w:rPr>
        <w:t xml:space="preserve"> يقود تحليل المخاطر بعد الطلبية لطلبيات العملاء ويتحقق من وجود إجراءات الضبط قبل الإنتاج.</w:t>
      </w:r>
    </w:p>
    <w:p>
      <w:pPr>
        <w:pStyle w:val="ListeParagraf"/>
        <w:bidi/>
        <w:spacing w:after="80"/>
        <w:ind w:left="0" w:right="709"/>
        <w:jc w:val="both"/>
      </w:pPr>
      <w:r>
        <w:rPr>
          <w:rFonts w:ascii="Calibri" w:hAnsi="Calibri" w:cs="Arial"/>
          <w:rtl/>
          <w:sz w:val="24"/>
          <w:szCs w:val="24"/>
        </w:rPr>
        <w:t xml:space="preserve">• </w:t>
      </w:r>
      <w:r>
        <w:rPr>
          <w:rFonts w:ascii="Calibri" w:hAnsi="Calibri" w:cs="Arial"/>
          <w:b/>
          <w:bCs/>
          <w:rtl/>
          <w:sz w:val="24"/>
          <w:szCs w:val="24"/>
        </w:rPr>
        <w:t xml:space="preserve">مديرو الصحة والسلامة والبيئة والجودة والمسؤولية الاجتماعية والأمن:</w:t>
      </w:r>
      <w:r>
        <w:rPr>
          <w:rFonts w:ascii="Calibri" w:hAnsi="Calibri" w:cs="Arial"/>
          <w:rtl/>
          <w:sz w:val="24"/>
          <w:szCs w:val="24"/>
        </w:rPr>
        <w:t xml:space="preserve"> ينقلون النتائج الهامة لتقييمات المخاطر المتخصصة إلى السجل.</w:t>
      </w:r>
    </w:p>
    <w:p>
      <w:pPr>
        <w:pStyle w:val="ListeParagraf"/>
        <w:bidi/>
        <w:spacing w:after="80"/>
        <w:ind w:left="0" w:right="709"/>
        <w:jc w:val="both"/>
      </w:pPr>
    </w:p>
    <w:p>
      <w:pPr>
        <w:pStyle w:val="ListeParagraf"/>
        <w:bidi/>
        <w:spacing w:before="120" w:after="60"/>
        <w:ind w:left="0" w:right="709"/>
      </w:pPr>
      <w:r>
        <w:rPr>
          <w:rFonts w:ascii="Calibri" w:hAnsi="Calibri" w:cs="Arial"/>
          <w:b/>
          <w:bCs/>
          <w:rtl/>
          <w:sz w:val="24"/>
          <w:szCs w:val="24"/>
        </w:rPr>
        <w:t xml:space="preserve">التعريفات</w:t>
      </w:r>
    </w:p>
    <w:p>
      <w:pPr>
        <w:pStyle w:val="ListeParagraf"/>
        <w:bidi/>
        <w:spacing w:after="80"/>
        <w:ind w:left="0" w:right="709"/>
        <w:jc w:val="both"/>
      </w:pPr>
      <w:r>
        <w:rPr>
          <w:rFonts w:ascii="Calibri" w:hAnsi="Calibri" w:cs="Arial"/>
          <w:rtl/>
          <w:sz w:val="24"/>
          <w:szCs w:val="24"/>
        </w:rPr>
        <w:t xml:space="preserve">• </w:t>
      </w:r>
      <w:r>
        <w:rPr>
          <w:rFonts w:ascii="Calibri" w:hAnsi="Calibri" w:cs="Arial"/>
          <w:b/>
          <w:bCs/>
          <w:rtl/>
          <w:sz w:val="24"/>
          <w:szCs w:val="24"/>
        </w:rPr>
        <w:t xml:space="preserve">الخطر:</w:t>
      </w:r>
      <w:r>
        <w:rPr>
          <w:rFonts w:ascii="Calibri" w:hAnsi="Calibri" w:cs="Arial"/>
          <w:rtl/>
          <w:sz w:val="24"/>
          <w:szCs w:val="24"/>
        </w:rPr>
        <w:t xml:space="preserve"> أثر عدم اليقين؛ حدث محتمل قد يمنع EMS من تحقيق أهدافها أو نتائجها المرجوة.</w:t>
      </w:r>
    </w:p>
    <w:p>
      <w:pPr>
        <w:pStyle w:val="ListeParagraf"/>
        <w:bidi/>
        <w:spacing w:after="80"/>
        <w:ind w:left="0" w:right="709"/>
        <w:jc w:val="both"/>
      </w:pPr>
      <w:r>
        <w:rPr>
          <w:rFonts w:ascii="Calibri" w:hAnsi="Calibri" w:cs="Arial"/>
          <w:rtl/>
          <w:sz w:val="24"/>
          <w:szCs w:val="24"/>
        </w:rPr>
        <w:t xml:space="preserve">• </w:t>
      </w:r>
      <w:r>
        <w:rPr>
          <w:rFonts w:ascii="Calibri" w:hAnsi="Calibri" w:cs="Arial"/>
          <w:b/>
          <w:bCs/>
          <w:rtl/>
          <w:sz w:val="24"/>
          <w:szCs w:val="24"/>
        </w:rPr>
        <w:t xml:space="preserve">الفرصة:</w:t>
      </w:r>
      <w:r>
        <w:rPr>
          <w:rFonts w:ascii="Calibri" w:hAnsi="Calibri" w:cs="Arial"/>
          <w:rtl/>
          <w:sz w:val="24"/>
          <w:szCs w:val="24"/>
        </w:rPr>
        <w:t xml:space="preserve"> وضع يمكن أن يؤدي إلى أداء أفضل أو أعمال جديدة أو توفير في التكاليف أو تحسين.</w:t>
      </w:r>
    </w:p>
    <w:p>
      <w:pPr>
        <w:pStyle w:val="ListeParagraf"/>
        <w:bidi/>
        <w:spacing w:after="80"/>
        <w:ind w:left="0" w:right="709"/>
        <w:jc w:val="both"/>
      </w:pPr>
      <w:r>
        <w:rPr>
          <w:rFonts w:ascii="Calibri" w:hAnsi="Calibri" w:cs="Arial"/>
          <w:rtl/>
          <w:sz w:val="24"/>
          <w:szCs w:val="24"/>
        </w:rPr>
        <w:t xml:space="preserve">• </w:t>
      </w:r>
      <w:r>
        <w:rPr>
          <w:rFonts w:ascii="Calibri" w:hAnsi="Calibri" w:cs="Arial"/>
          <w:b/>
          <w:bCs/>
          <w:rtl/>
          <w:sz w:val="24"/>
          <w:szCs w:val="24"/>
        </w:rPr>
        <w:t xml:space="preserve">الاحتمالية:</w:t>
      </w:r>
      <w:r>
        <w:rPr>
          <w:rFonts w:ascii="Calibri" w:hAnsi="Calibri" w:cs="Arial"/>
          <w:rtl/>
          <w:sz w:val="24"/>
          <w:szCs w:val="24"/>
        </w:rPr>
        <w:t xml:space="preserve"> مدى احتمال حدوث الخطر، وتُقيّم من 1 (غير محتمل جدًا) إلى 5 (شبه مؤكد).</w:t>
      </w:r>
    </w:p>
    <w:p>
      <w:pPr>
        <w:pStyle w:val="ListeParagraf"/>
        <w:bidi/>
        <w:spacing w:after="80"/>
        <w:ind w:left="0" w:right="709"/>
        <w:jc w:val="both"/>
      </w:pPr>
      <w:r>
        <w:rPr>
          <w:rFonts w:ascii="Calibri" w:hAnsi="Calibri" w:cs="Arial"/>
          <w:rtl/>
          <w:sz w:val="24"/>
          <w:szCs w:val="24"/>
        </w:rPr>
        <w:t xml:space="preserve">• </w:t>
      </w:r>
      <w:r>
        <w:rPr>
          <w:rFonts w:ascii="Calibri" w:hAnsi="Calibri" w:cs="Arial"/>
          <w:b/>
          <w:bCs/>
          <w:rtl/>
          <w:sz w:val="24"/>
          <w:szCs w:val="24"/>
        </w:rPr>
        <w:t xml:space="preserve">الشدة:</w:t>
      </w:r>
      <w:r>
        <w:rPr>
          <w:rFonts w:ascii="Calibri" w:hAnsi="Calibri" w:cs="Arial"/>
          <w:rtl/>
          <w:sz w:val="24"/>
          <w:szCs w:val="24"/>
        </w:rPr>
        <w:t xml:space="preserve"> حجم العاقبة في حال حدوث الخطر، وتُقيّم من 1 (طفيفة) إلى 5 (خطيرة جدًا).</w:t>
      </w:r>
    </w:p>
    <w:p>
      <w:pPr>
        <w:pStyle w:val="ListeParagraf"/>
        <w:bidi/>
        <w:spacing w:after="80"/>
        <w:ind w:left="0" w:right="709"/>
        <w:jc w:val="both"/>
      </w:pPr>
      <w:r>
        <w:rPr>
          <w:rFonts w:ascii="Calibri" w:hAnsi="Calibri" w:cs="Arial"/>
          <w:rtl/>
          <w:sz w:val="24"/>
          <w:szCs w:val="24"/>
        </w:rPr>
        <w:t xml:space="preserve">• </w:t>
      </w:r>
      <w:r>
        <w:rPr>
          <w:rFonts w:ascii="Calibri" w:hAnsi="Calibri" w:cs="Arial"/>
          <w:b/>
          <w:bCs/>
          <w:rtl/>
          <w:sz w:val="24"/>
          <w:szCs w:val="24"/>
        </w:rPr>
        <w:t xml:space="preserve">درجة الخطر:</w:t>
      </w:r>
      <w:r>
        <w:rPr>
          <w:rFonts w:ascii="Calibri" w:hAnsi="Calibri" w:cs="Arial"/>
          <w:rtl/>
          <w:sz w:val="24"/>
          <w:szCs w:val="24"/>
        </w:rPr>
        <w:t xml:space="preserve"> الاحتمالية × الشدة، وتُستخدم لترتيب أولويات المخاطر.</w:t>
      </w:r>
    </w:p>
    <w:p>
      <w:pPr>
        <w:pStyle w:val="ListeParagraf"/>
        <w:bidi/>
        <w:spacing w:after="80"/>
        <w:ind w:left="0" w:right="709"/>
        <w:jc w:val="both"/>
      </w:pPr>
      <w:r>
        <w:rPr>
          <w:rFonts w:ascii="Calibri" w:hAnsi="Calibri" w:cs="Arial"/>
          <w:rtl/>
          <w:sz w:val="24"/>
          <w:szCs w:val="24"/>
        </w:rPr>
        <w:t xml:space="preserve">• </w:t>
      </w:r>
      <w:r>
        <w:rPr>
          <w:rFonts w:ascii="Calibri" w:hAnsi="Calibri" w:cs="Arial"/>
          <w:b/>
          <w:bCs/>
          <w:rtl/>
          <w:sz w:val="24"/>
          <w:szCs w:val="24"/>
        </w:rPr>
        <w:t xml:space="preserve">الخطر المتبقي:</w:t>
      </w:r>
      <w:r>
        <w:rPr>
          <w:rFonts w:ascii="Calibri" w:hAnsi="Calibri" w:cs="Arial"/>
          <w:rtl/>
          <w:sz w:val="24"/>
          <w:szCs w:val="24"/>
        </w:rPr>
        <w:t xml:space="preserve"> درجة الخطر التي تبقى بعد تطبيق إجراءات الضبط.</w:t>
      </w:r>
    </w:p>
    <w:p>
      <w:pPr>
        <w:pStyle w:val="ListeParagraf"/>
        <w:bidi/>
        <w:spacing w:after="80"/>
        <w:ind w:left="0" w:right="709"/>
        <w:jc w:val="both"/>
      </w:pPr>
      <w:r>
        <w:rPr>
          <w:rFonts w:ascii="Calibri" w:hAnsi="Calibri" w:cs="Arial"/>
          <w:rtl/>
          <w:sz w:val="24"/>
          <w:szCs w:val="24"/>
        </w:rPr>
        <w:t xml:space="preserve">• </w:t>
      </w:r>
      <w:r>
        <w:rPr>
          <w:rFonts w:ascii="Calibri" w:hAnsi="Calibri" w:cs="Arial"/>
          <w:b/>
          <w:bCs/>
          <w:rtl/>
          <w:sz w:val="24"/>
          <w:szCs w:val="24"/>
        </w:rPr>
        <w:t xml:space="preserve">تحليل المخاطر بعد الطلبية:</w:t>
      </w:r>
      <w:r>
        <w:rPr>
          <w:rFonts w:ascii="Calibri" w:hAnsi="Calibri" w:cs="Arial"/>
          <w:rtl/>
          <w:sz w:val="24"/>
          <w:szCs w:val="24"/>
        </w:rPr>
        <w:t xml:space="preserve"> تقييم درجات مخاطر الجودة والتسليم والمواد والامتثال لطلبية العميل المقبولة قبل بدء الإنتاج.</w:t>
      </w:r>
    </w:p>
    <w:p>
      <w:pPr>
        <w:pStyle w:val="ListeParagraf"/>
        <w:bidi/>
        <w:spacing w:after="80"/>
        <w:ind w:left="0" w:right="709"/>
        <w:jc w:val="both"/>
      </w:pPr>
    </w:p>
    <w:p>
      <w:pPr>
        <w:pStyle w:val="ListeParagraf"/>
        <w:bidi/>
        <w:spacing w:before="120" w:after="60"/>
        <w:ind w:left="0" w:right="709"/>
      </w:pPr>
      <w:r>
        <w:rPr>
          <w:rFonts w:ascii="Calibri" w:hAnsi="Calibri" w:cs="Arial"/>
          <w:b/>
          <w:bCs/>
          <w:rtl/>
          <w:sz w:val="24"/>
          <w:szCs w:val="24"/>
        </w:rPr>
        <w:t xml:space="preserve">العمليات الرئيسية والفرعية</w:t>
      </w:r>
    </w:p>
    <w:p>
      <w:pPr>
        <w:pStyle w:val="ListeParagraf"/>
        <w:bidi/>
        <w:spacing w:before="120" w:after="60"/>
        <w:ind w:left="0" w:right="709"/>
      </w:pPr>
      <w:r>
        <w:rPr>
          <w:rFonts w:ascii="Calibri" w:hAnsi="Calibri" w:cs="Arial"/>
          <w:b/>
          <w:bCs/>
          <w:rtl/>
          <w:sz w:val="24"/>
          <w:szCs w:val="24"/>
        </w:rPr>
        <w:t xml:space="preserve">1. تحديد المخاطر والفرص</w:t>
      </w:r>
    </w:p>
    <w:p>
      <w:pPr>
        <w:pStyle w:val="ListeParagraf"/>
        <w:bidi/>
        <w:spacing w:after="80"/>
        <w:ind w:left="0" w:right="709"/>
        <w:jc w:val="both"/>
      </w:pPr>
      <w:r>
        <w:rPr>
          <w:rFonts w:ascii="Calibri" w:hAnsi="Calibri" w:cs="Arial"/>
          <w:rtl/>
          <w:sz w:val="24"/>
          <w:szCs w:val="24"/>
        </w:rPr>
        <w:t xml:space="preserve">1.1. يحدد كل قسم مخاطره وفرصه مرة واحدة على الأقل سنويًا، مستخدمًا المدخلات التالية:</w:t>
      </w:r>
    </w:p>
    <w:p>
      <w:pPr>
        <w:pStyle w:val="ListeParagraf"/>
        <w:numPr>
          <w:ilvl w:val="0"/>
          <w:numId w:val="1"/>
        </w:numPr>
        <w:bidi/>
        <w:spacing w:after="60"/>
        <w:jc w:val="both"/>
      </w:pPr>
      <w:r>
        <w:rPr>
          <w:rFonts w:ascii="Calibri" w:hAnsi="Calibri" w:cs="Arial"/>
          <w:rtl/>
          <w:sz w:val="24"/>
          <w:szCs w:val="24"/>
        </w:rPr>
        <w:t xml:space="preserve">تحليل السياق وسجل الأطراف المعنية (EMS.YS.PRO.11.03.)،</w:t>
      </w:r>
    </w:p>
    <w:p>
      <w:pPr>
        <w:pStyle w:val="ListeParagraf"/>
        <w:numPr>
          <w:ilvl w:val="0"/>
          <w:numId w:val="1"/>
        </w:numPr>
        <w:bidi/>
        <w:spacing w:after="60"/>
        <w:jc w:val="both"/>
      </w:pPr>
      <w:r>
        <w:rPr>
          <w:rFonts w:ascii="Calibri" w:hAnsi="Calibri" w:cs="Arial"/>
          <w:rtl/>
          <w:sz w:val="24"/>
          <w:szCs w:val="24"/>
        </w:rPr>
        <w:t xml:space="preserve">أداء العمليات ومؤشرات الأداء وشكاوى العملاء وملاحظات التدقيق،</w:t>
      </w:r>
    </w:p>
    <w:p>
      <w:pPr>
        <w:pStyle w:val="ListeParagraf"/>
        <w:numPr>
          <w:ilvl w:val="0"/>
          <w:numId w:val="1"/>
        </w:numPr>
        <w:bidi/>
        <w:spacing w:after="60"/>
        <w:jc w:val="both"/>
      </w:pPr>
      <w:r>
        <w:rPr>
          <w:rFonts w:ascii="Calibri" w:hAnsi="Calibri" w:cs="Arial"/>
          <w:rtl/>
          <w:sz w:val="24"/>
          <w:szCs w:val="24"/>
        </w:rPr>
        <w:t xml:space="preserve">الجوانب البيئية الهامة ومخاطر الصحة والسلامة المهنية وتقييمات المخاطر الكيميائية والأمنية،</w:t>
      </w:r>
    </w:p>
    <w:p>
      <w:pPr>
        <w:pStyle w:val="ListeParagraf"/>
        <w:numPr>
          <w:ilvl w:val="0"/>
          <w:numId w:val="1"/>
        </w:numPr>
        <w:bidi/>
        <w:spacing w:after="60"/>
        <w:jc w:val="both"/>
      </w:pPr>
      <w:r>
        <w:rPr>
          <w:rFonts w:ascii="Calibri" w:hAnsi="Calibri" w:cs="Arial"/>
          <w:rtl/>
          <w:sz w:val="24"/>
          <w:szCs w:val="24"/>
        </w:rPr>
        <w:t xml:space="preserve">التغييرات المخطط لها (عميل أو منتج أو آلة أو عملية أو مبنى أو متطلب قانوني جديد).</w:t>
      </w:r>
    </w:p>
    <w:p>
      <w:pPr>
        <w:pStyle w:val="ListeParagraf"/>
        <w:bidi/>
        <w:spacing w:after="80"/>
        <w:ind w:left="0" w:right="709"/>
        <w:jc w:val="both"/>
      </w:pPr>
      <w:r>
        <w:rPr>
          <w:rFonts w:ascii="Calibri" w:hAnsi="Calibri" w:cs="Arial"/>
          <w:rtl/>
          <w:sz w:val="24"/>
          <w:szCs w:val="24"/>
        </w:rPr>
        <w:t xml:space="preserve">1.2. تشمل المخاطر النموذجية فقدان عميل رئيسي، والتأخر في التسليم، وأخطاء درجة اللون أو الجودة، والإخفاق في اختبارات RSL، وتعطل المرافق الحرجة، ونقص العمال المهرة، ومخالفات الامتثال الاجتماعي، وانسكابات الكيماويات، والاختراقات الأمنية.</w:t>
      </w:r>
    </w:p>
    <w:p>
      <w:pPr>
        <w:pStyle w:val="ListeParagraf"/>
        <w:bidi/>
        <w:spacing w:after="80"/>
        <w:ind w:left="0" w:right="709"/>
        <w:jc w:val="both"/>
      </w:pPr>
      <w:r>
        <w:rPr>
          <w:rFonts w:ascii="Calibri" w:hAnsi="Calibri" w:cs="Arial"/>
          <w:rtl/>
          <w:sz w:val="24"/>
          <w:szCs w:val="24"/>
        </w:rPr>
        <w:t xml:space="preserve">1.3. تشمل الفرص النموذجية أسواقًا جديدة ومنتجات معتمدة (GRS وOCS)، وتوفير الطاقة والمياه، والأتمتة، وتعدد المهارات، وأنظمة التتبع الرقمية.</w:t>
      </w:r>
    </w:p>
    <w:p>
      <w:pPr>
        <w:pStyle w:val="ListeParagraf"/>
        <w:bidi/>
        <w:spacing w:after="80"/>
        <w:ind w:left="0" w:right="709"/>
        <w:jc w:val="both"/>
      </w:pPr>
      <w:r>
        <w:rPr>
          <w:rFonts w:ascii="Calibri" w:hAnsi="Calibri" w:cs="Arial"/>
          <w:rtl/>
          <w:sz w:val="24"/>
          <w:szCs w:val="24"/>
        </w:rPr>
        <w:t xml:space="preserve">1.4. تُسجل المخاطر والفرص في سجل المخاطر والفرص مع العملية والوصف والسبب والأثر وإجراءات الضبط القائمة والمسؤول.</w:t>
      </w:r>
    </w:p>
    <w:p>
      <w:pPr>
        <w:pStyle w:val="ListeParagraf"/>
        <w:bidi/>
        <w:spacing w:after="80"/>
        <w:ind w:left="0" w:right="709"/>
        <w:jc w:val="both"/>
      </w:pPr>
    </w:p>
    <w:p>
      <w:pPr>
        <w:pStyle w:val="ListeParagraf"/>
        <w:bidi/>
        <w:spacing w:before="120" w:after="60"/>
        <w:ind w:left="0" w:right="709"/>
      </w:pPr>
      <w:r>
        <w:rPr>
          <w:rFonts w:ascii="Calibri" w:hAnsi="Calibri" w:cs="Arial"/>
          <w:b/>
          <w:bCs/>
          <w:rtl/>
          <w:sz w:val="24"/>
          <w:szCs w:val="24"/>
        </w:rPr>
        <w:t xml:space="preserve">2. التقييم وترتيب الأولويات</w:t>
      </w:r>
    </w:p>
    <w:p>
      <w:pPr>
        <w:pStyle w:val="ListeParagraf"/>
        <w:bidi/>
        <w:spacing w:after="80"/>
        <w:ind w:left="0" w:right="709"/>
        <w:jc w:val="both"/>
      </w:pPr>
      <w:r>
        <w:rPr>
          <w:rFonts w:ascii="Calibri" w:hAnsi="Calibri" w:cs="Arial"/>
          <w:rtl/>
          <w:sz w:val="24"/>
          <w:szCs w:val="24"/>
        </w:rPr>
        <w:t xml:space="preserve">2.1. تُقيّم درجة كل خطر وفق الاحتمالية (1-5) × الشدة (1-5)، مع مراعاة الضوابط القائمة:</w:t>
      </w:r>
    </w:p>
    <w:p>
      <w:pPr>
        <w:pStyle w:val="ListeParagraf"/>
        <w:numPr>
          <w:ilvl w:val="0"/>
          <w:numId w:val="1"/>
        </w:numPr>
        <w:bidi/>
        <w:spacing w:after="60"/>
        <w:jc w:val="both"/>
      </w:pPr>
      <w:r>
        <w:rPr>
          <w:rFonts w:ascii="Calibri" w:hAnsi="Calibri" w:cs="Arial"/>
          <w:rtl/>
          <w:sz w:val="24"/>
          <w:szCs w:val="24"/>
        </w:rPr>
        <w:t xml:space="preserve">1-6: خطر منخفض – يُراقب ضمن الضوابط القائمة،</w:t>
      </w:r>
    </w:p>
    <w:p>
      <w:pPr>
        <w:pStyle w:val="ListeParagraf"/>
        <w:numPr>
          <w:ilvl w:val="0"/>
          <w:numId w:val="1"/>
        </w:numPr>
        <w:bidi/>
        <w:spacing w:after="60"/>
        <w:jc w:val="both"/>
      </w:pPr>
      <w:r>
        <w:rPr>
          <w:rFonts w:ascii="Calibri" w:hAnsi="Calibri" w:cs="Arial"/>
          <w:rtl/>
          <w:sz w:val="24"/>
          <w:szCs w:val="24"/>
        </w:rPr>
        <w:t xml:space="preserve">8-12: خطر متوسط – تُعد خطة عمل خلال ثلاثة أشهر،</w:t>
      </w:r>
    </w:p>
    <w:p>
      <w:pPr>
        <w:pStyle w:val="ListeParagraf"/>
        <w:numPr>
          <w:ilvl w:val="0"/>
          <w:numId w:val="1"/>
        </w:numPr>
        <w:bidi/>
        <w:spacing w:after="60"/>
        <w:jc w:val="both"/>
      </w:pPr>
      <w:r>
        <w:rPr>
          <w:rFonts w:ascii="Calibri" w:hAnsi="Calibri" w:cs="Arial"/>
          <w:rtl/>
          <w:sz w:val="24"/>
          <w:szCs w:val="24"/>
        </w:rPr>
        <w:t xml:space="preserve">15-25: خطر مرتفع – يُخطط لإجراء فوري ويعتمده المدير العام.</w:t>
      </w:r>
    </w:p>
    <w:p>
      <w:pPr>
        <w:pStyle w:val="ListeParagraf"/>
        <w:bidi/>
        <w:spacing w:after="80"/>
        <w:ind w:left="0" w:right="709"/>
        <w:jc w:val="both"/>
      </w:pPr>
      <w:r>
        <w:rPr>
          <w:rFonts w:ascii="Calibri" w:hAnsi="Calibri" w:cs="Arial"/>
          <w:rtl/>
          <w:sz w:val="24"/>
          <w:szCs w:val="24"/>
        </w:rPr>
        <w:t xml:space="preserve">2.2. تُقيّم الفرص وفق الفائدة المتوقعة والتكلفة وإمكانية التنفيذ (مرتفعة / متوسطة / منخفضة)، وتحدد الإدارة أولوياتها.</w:t>
      </w:r>
    </w:p>
    <w:p>
      <w:pPr>
        <w:pStyle w:val="ListeParagraf"/>
        <w:bidi/>
        <w:spacing w:after="80"/>
        <w:ind w:left="0" w:right="709"/>
        <w:jc w:val="both"/>
      </w:pPr>
      <w:r>
        <w:rPr>
          <w:rFonts w:ascii="Calibri" w:hAnsi="Calibri" w:cs="Arial"/>
          <w:rtl/>
          <w:sz w:val="24"/>
          <w:szCs w:val="24"/>
        </w:rPr>
        <w:t xml:space="preserve">2.3. تُقيّم المخاطر المتعلقة بسلامة المنتج والامتثال الكيميائي ومتطلبات الامتثال الاجتماعي للعملاء دائمًا بدرجة متوسطة على الأقل، ما لم يثبت ضبط موثق خلاف ذلك.</w:t>
      </w:r>
    </w:p>
    <w:p>
      <w:pPr>
        <w:pStyle w:val="ListeParagraf"/>
        <w:bidi/>
        <w:spacing w:after="80"/>
        <w:ind w:left="0" w:right="709"/>
        <w:jc w:val="both"/>
      </w:pPr>
    </w:p>
    <w:p>
      <w:pPr>
        <w:pStyle w:val="ListeParagraf"/>
        <w:bidi/>
        <w:spacing w:before="120" w:after="60"/>
        <w:ind w:left="0" w:right="709"/>
      </w:pPr>
      <w:r>
        <w:rPr>
          <w:rFonts w:ascii="Calibri" w:hAnsi="Calibri" w:cs="Arial"/>
          <w:b/>
          <w:bCs/>
          <w:rtl/>
          <w:sz w:val="24"/>
          <w:szCs w:val="24"/>
        </w:rPr>
        <w:t xml:space="preserve">3. تحليل المخاطر على مستوى الطلبية (بعد الطلبية)</w:t>
      </w:r>
    </w:p>
    <w:p>
      <w:pPr>
        <w:pStyle w:val="ListeParagraf"/>
        <w:bidi/>
        <w:spacing w:after="80"/>
        <w:ind w:left="0" w:right="709"/>
        <w:jc w:val="both"/>
      </w:pPr>
      <w:r>
        <w:rPr>
          <w:rFonts w:ascii="Calibri" w:hAnsi="Calibri" w:cs="Arial"/>
          <w:rtl/>
          <w:sz w:val="24"/>
          <w:szCs w:val="24"/>
        </w:rPr>
        <w:t xml:space="preserve">3.1. لكل طلبية عميل مقبولة وقبل الإنتاج، يعقد ضمان الجودة اجتماع تحليل المخاطر مع الميرشندايزينغ والتخطيط والإنتاج والمختبر (TLM-ONH-02)، وفق EMS.ÜR.PRO.05.03.</w:t>
      </w:r>
    </w:p>
    <w:p>
      <w:pPr>
        <w:pStyle w:val="ListeParagraf"/>
        <w:bidi/>
        <w:spacing w:after="80"/>
        <w:ind w:left="0" w:right="709"/>
        <w:jc w:val="both"/>
      </w:pPr>
      <w:r>
        <w:rPr>
          <w:rFonts w:ascii="Calibri" w:hAnsi="Calibri" w:cs="Arial"/>
          <w:rtl/>
          <w:sz w:val="24"/>
          <w:szCs w:val="24"/>
        </w:rPr>
        <w:t xml:space="preserve">3.2. تُقيّم مخاطر الجودة والتسليم وتوفر المواد والامتثال والعمليات الجديدة للطلبية بالطريقة نفسها (الاحتمالية × الشدة) وتُسجل في سجل تحليل المخاطر بعد الطلبية (EMS.QA.FRM.00.01).</w:t>
      </w:r>
    </w:p>
    <w:p>
      <w:pPr>
        <w:pStyle w:val="ListeParagraf"/>
        <w:bidi/>
        <w:spacing w:after="80"/>
        <w:ind w:left="0" w:right="709"/>
        <w:jc w:val="both"/>
      </w:pPr>
      <w:r>
        <w:rPr>
          <w:rFonts w:ascii="Calibri" w:hAnsi="Calibri" w:cs="Arial"/>
          <w:rtl/>
          <w:sz w:val="24"/>
          <w:szCs w:val="24"/>
        </w:rPr>
        <w:t xml:space="preserve">3.3. لكل خطر مرتفع يُسجل إجراء الضبط والشخص المسؤول والموعد النهائي في سجل تحليل المخاطر (EMS.QA.FRM.00.02).</w:t>
      </w:r>
    </w:p>
    <w:p>
      <w:pPr>
        <w:pStyle w:val="ListeParagraf"/>
        <w:bidi/>
        <w:spacing w:after="80"/>
        <w:ind w:left="0" w:right="709"/>
        <w:jc w:val="both"/>
      </w:pPr>
      <w:r>
        <w:rPr>
          <w:rFonts w:ascii="Calibri" w:hAnsi="Calibri" w:cs="Arial"/>
          <w:rtl/>
          <w:sz w:val="24"/>
          <w:szCs w:val="24"/>
        </w:rPr>
        <w:t xml:space="preserve">3.4. لا يبدأ إنتاج الطلبية عالية الخطورة قبل اعتماد خطة الإجراءات؛ وتُنقل مخاطر الطلبيات المتكررة الهامة إلى سجل المخاطر والفرص.</w:t>
      </w:r>
    </w:p>
    <w:p>
      <w:pPr>
        <w:pStyle w:val="ListeParagraf"/>
        <w:bidi/>
        <w:spacing w:after="80"/>
        <w:ind w:left="0" w:right="709"/>
        <w:jc w:val="both"/>
      </w:pPr>
    </w:p>
    <w:p>
      <w:pPr>
        <w:pStyle w:val="ListeParagraf"/>
        <w:bidi/>
        <w:spacing w:before="120" w:after="60"/>
        <w:ind w:left="0" w:right="709"/>
      </w:pPr>
      <w:r>
        <w:rPr>
          <w:rFonts w:ascii="Calibri" w:hAnsi="Calibri" w:cs="Arial"/>
          <w:b/>
          <w:bCs/>
          <w:rtl/>
          <w:sz w:val="24"/>
          <w:szCs w:val="24"/>
        </w:rPr>
        <w:t xml:space="preserve">4. تخطيط الإجراءات وتنفيذها</w:t>
      </w:r>
    </w:p>
    <w:p>
      <w:pPr>
        <w:pStyle w:val="ListeParagraf"/>
        <w:bidi/>
        <w:spacing w:after="80"/>
        <w:ind w:left="0" w:right="709"/>
        <w:jc w:val="both"/>
      </w:pPr>
      <w:r>
        <w:rPr>
          <w:rFonts w:ascii="Calibri" w:hAnsi="Calibri" w:cs="Arial"/>
          <w:rtl/>
          <w:sz w:val="24"/>
          <w:szCs w:val="24"/>
        </w:rPr>
        <w:t xml:space="preserve">4.1. بالنسبة للمخاطر المتوسطة والمرتفعة والفرص المختارة، تُحدد الإجراءات في سجل المخاطر والفرص مع الشخص المسؤول والموعد النهائي والموارد المطلوبة.</w:t>
      </w:r>
    </w:p>
    <w:p>
      <w:pPr>
        <w:pStyle w:val="ListeParagraf"/>
        <w:bidi/>
        <w:spacing w:after="80"/>
        <w:ind w:left="0" w:right="709"/>
        <w:jc w:val="both"/>
      </w:pPr>
      <w:r>
        <w:rPr>
          <w:rFonts w:ascii="Calibri" w:hAnsi="Calibri" w:cs="Arial"/>
          <w:rtl/>
          <w:sz w:val="24"/>
          <w:szCs w:val="24"/>
        </w:rPr>
        <w:t xml:space="preserve">4.2. تكون الإجراءات متناسبة مع الأثر المحتمل، وتُدمج في الأهداف والميزانيات والإجراءات وخطط الصيانة أو التدريب حيثما أمكن.</w:t>
      </w:r>
    </w:p>
    <w:p>
      <w:pPr>
        <w:pStyle w:val="ListeParagraf"/>
        <w:bidi/>
        <w:spacing w:after="80"/>
        <w:ind w:left="0" w:right="709"/>
        <w:jc w:val="both"/>
      </w:pPr>
      <w:r>
        <w:rPr>
          <w:rFonts w:ascii="Calibri" w:hAnsi="Calibri" w:cs="Arial"/>
          <w:rtl/>
          <w:sz w:val="24"/>
          <w:szCs w:val="24"/>
        </w:rPr>
        <w:t xml:space="preserve">4.3. تُقيّم مخاطر التغييرات المخطط لها قبل تنفيذها (EMS.İS.PRO.18.17).</w:t>
      </w:r>
    </w:p>
    <w:p>
      <w:pPr>
        <w:pStyle w:val="ListeParagraf"/>
        <w:bidi/>
        <w:spacing w:after="80"/>
        <w:ind w:left="0" w:right="709"/>
        <w:jc w:val="both"/>
      </w:pPr>
      <w:r>
        <w:rPr>
          <w:rFonts w:ascii="Calibri" w:hAnsi="Calibri" w:cs="Arial"/>
          <w:rtl/>
          <w:sz w:val="24"/>
          <w:szCs w:val="24"/>
        </w:rPr>
        <w:t xml:space="preserve">4.4. يبلغ مديرو الأقسام ممثل نظام الإدارة بحالة إجراءاتهم كل ثلاثة أشهر.</w:t>
      </w:r>
    </w:p>
    <w:p>
      <w:pPr>
        <w:pStyle w:val="ListeParagraf"/>
        <w:bidi/>
        <w:spacing w:after="80"/>
        <w:ind w:left="0" w:right="709"/>
        <w:jc w:val="both"/>
      </w:pPr>
    </w:p>
    <w:p>
      <w:pPr>
        <w:pStyle w:val="ListeParagraf"/>
        <w:bidi/>
        <w:spacing w:before="120" w:after="60"/>
        <w:ind w:left="0" w:right="709"/>
      </w:pPr>
      <w:r>
        <w:rPr>
          <w:rFonts w:ascii="Calibri" w:hAnsi="Calibri" w:cs="Arial"/>
          <w:b/>
          <w:bCs/>
          <w:rtl/>
          <w:sz w:val="24"/>
          <w:szCs w:val="24"/>
        </w:rPr>
        <w:t xml:space="preserve">5. تقييم الفعالية</w:t>
      </w:r>
    </w:p>
    <w:p>
      <w:pPr>
        <w:pStyle w:val="ListeParagraf"/>
        <w:bidi/>
        <w:spacing w:after="80"/>
        <w:ind w:left="0" w:right="709"/>
        <w:jc w:val="both"/>
      </w:pPr>
      <w:r>
        <w:rPr>
          <w:rFonts w:ascii="Calibri" w:hAnsi="Calibri" w:cs="Arial"/>
          <w:rtl/>
          <w:sz w:val="24"/>
          <w:szCs w:val="24"/>
        </w:rPr>
        <w:t xml:space="preserve">5.1. بعد إنجاز الإجراء يُعاد تقييم درجة الخطر؛ ويُعتبر الإجراء فعالًا إذا انخفضت الدرجة المتبقية إلى مستوى مقبول (منخفض، أو متوسط مع تبرير معتمد).</w:t>
      </w:r>
    </w:p>
    <w:p>
      <w:pPr>
        <w:pStyle w:val="ListeParagraf"/>
        <w:bidi/>
        <w:spacing w:after="80"/>
        <w:ind w:left="0" w:right="709"/>
        <w:jc w:val="both"/>
      </w:pPr>
      <w:r>
        <w:rPr>
          <w:rFonts w:ascii="Calibri" w:hAnsi="Calibri" w:cs="Arial"/>
          <w:rtl/>
          <w:sz w:val="24"/>
          <w:szCs w:val="24"/>
        </w:rPr>
        <w:t xml:space="preserve">5.2. إذا لم يكن الإجراء فعالًا، يُحدد إجراء جديد وتُرفع الحالة إلى المدير العام.</w:t>
      </w:r>
    </w:p>
    <w:p>
      <w:pPr>
        <w:pStyle w:val="ListeParagraf"/>
        <w:bidi/>
        <w:spacing w:after="80"/>
        <w:ind w:left="0" w:right="709"/>
        <w:jc w:val="both"/>
      </w:pPr>
      <w:r>
        <w:rPr>
          <w:rFonts w:ascii="Calibri" w:hAnsi="Calibri" w:cs="Arial"/>
          <w:rtl/>
          <w:sz w:val="24"/>
          <w:szCs w:val="24"/>
        </w:rPr>
        <w:t xml:space="preserve">5.3. عند حدوث الخطر (حادث أو شكوى أو عدم مطابقة) يُفتح إجراء تصحيحي وفق EMS.YS.PRO.11.02 ويُحدّث السجل.</w:t>
      </w:r>
    </w:p>
    <w:p>
      <w:pPr>
        <w:pStyle w:val="ListeParagraf"/>
        <w:bidi/>
        <w:spacing w:after="80"/>
        <w:ind w:left="0" w:right="709"/>
        <w:jc w:val="both"/>
      </w:pPr>
    </w:p>
    <w:p>
      <w:pPr>
        <w:pStyle w:val="ListeParagraf"/>
        <w:bidi/>
        <w:spacing w:before="120" w:after="60"/>
        <w:ind w:left="0" w:right="709"/>
      </w:pPr>
      <w:r>
        <w:rPr>
          <w:rFonts w:ascii="Calibri" w:hAnsi="Calibri" w:cs="Arial"/>
          <w:b/>
          <w:bCs/>
          <w:rtl/>
          <w:sz w:val="24"/>
          <w:szCs w:val="24"/>
        </w:rPr>
        <w:t xml:space="preserve">6. المراجعة والتحديث</w:t>
      </w:r>
    </w:p>
    <w:p>
      <w:pPr>
        <w:pStyle w:val="ListeParagraf"/>
        <w:bidi/>
        <w:spacing w:after="80"/>
        <w:ind w:left="0" w:right="709"/>
        <w:jc w:val="both"/>
      </w:pPr>
      <w:r>
        <w:rPr>
          <w:rFonts w:ascii="Calibri" w:hAnsi="Calibri" w:cs="Arial"/>
          <w:rtl/>
          <w:sz w:val="24"/>
          <w:szCs w:val="24"/>
        </w:rPr>
        <w:t xml:space="preserve">6.1. يُراجع السجل مرة واحدة على الأقل سنويًا، وكذلك بعد أي تغيير هام أو حادث أو شكوى عميل أو ملاحظة تدقيق جسيمة.</w:t>
      </w:r>
    </w:p>
    <w:p>
      <w:pPr>
        <w:pStyle w:val="ListeParagraf"/>
        <w:bidi/>
        <w:spacing w:after="80"/>
        <w:ind w:left="0" w:right="709"/>
        <w:jc w:val="both"/>
      </w:pPr>
      <w:r>
        <w:rPr>
          <w:rFonts w:ascii="Calibri" w:hAnsi="Calibri" w:cs="Arial"/>
          <w:rtl/>
          <w:sz w:val="24"/>
          <w:szCs w:val="24"/>
        </w:rPr>
        <w:t xml:space="preserve">6.2. تُعرض حالة المخاطر والفرص والإجراءات كمدخل في مراجعة الإدارة (EMS.YS.PRO.11.05).</w:t>
      </w:r>
    </w:p>
    <w:p>
      <w:pPr>
        <w:pStyle w:val="ListeParagraf"/>
        <w:bidi/>
        <w:spacing w:after="80"/>
        <w:ind w:left="0" w:right="709"/>
        <w:jc w:val="both"/>
      </w:pPr>
    </w:p>
    <w:p>
      <w:pPr>
        <w:pStyle w:val="ListeParagraf"/>
        <w:bidi/>
        <w:spacing w:before="120" w:after="60"/>
        <w:ind w:left="0" w:right="709"/>
      </w:pPr>
      <w:r>
        <w:rPr>
          <w:rFonts w:ascii="Calibri" w:hAnsi="Calibri" w:cs="Arial"/>
          <w:b/>
          <w:bCs/>
          <w:rtl/>
          <w:sz w:val="24"/>
          <w:szCs w:val="24"/>
        </w:rPr>
        <w:t xml:space="preserve">7. المتابعة والأداء</w:t>
      </w:r>
    </w:p>
    <w:p>
      <w:pPr>
        <w:pStyle w:val="ListeParagraf"/>
        <w:bidi/>
        <w:spacing w:after="80"/>
        <w:ind w:left="0" w:right="709"/>
        <w:jc w:val="both"/>
      </w:pPr>
      <w:r>
        <w:rPr>
          <w:rFonts w:ascii="Calibri" w:hAnsi="Calibri" w:cs="Arial"/>
          <w:rtl/>
          <w:sz w:val="24"/>
          <w:szCs w:val="24"/>
        </w:rPr>
        <w:t xml:space="preserve">7.1. تُتابع المؤشرات التالية:</w:t>
      </w:r>
    </w:p>
    <w:p>
      <w:pPr>
        <w:pStyle w:val="ListeParagraf"/>
        <w:numPr>
          <w:ilvl w:val="0"/>
          <w:numId w:val="1"/>
        </w:numPr>
        <w:bidi/>
        <w:spacing w:after="60"/>
        <w:jc w:val="both"/>
      </w:pPr>
      <w:r>
        <w:rPr>
          <w:rFonts w:ascii="Calibri" w:hAnsi="Calibri" w:cs="Arial"/>
          <w:rtl/>
          <w:sz w:val="24"/>
          <w:szCs w:val="24"/>
        </w:rPr>
        <w:t xml:space="preserve">عدد المخاطر المرتفعة المفتوحة واتجاهها،</w:t>
      </w:r>
    </w:p>
    <w:p>
      <w:pPr>
        <w:pStyle w:val="ListeParagraf"/>
        <w:numPr>
          <w:ilvl w:val="0"/>
          <w:numId w:val="1"/>
        </w:numPr>
        <w:bidi/>
        <w:spacing w:after="60"/>
        <w:jc w:val="both"/>
      </w:pPr>
      <w:r>
        <w:rPr>
          <w:rFonts w:ascii="Calibri" w:hAnsi="Calibri" w:cs="Arial"/>
          <w:rtl/>
          <w:sz w:val="24"/>
          <w:szCs w:val="24"/>
        </w:rPr>
        <w:t xml:space="preserve">نسبة الإجراءات المنجزة في موعدها (الهدف: 90% على الأقل)،</w:t>
      </w:r>
    </w:p>
    <w:p>
      <w:pPr>
        <w:pStyle w:val="ListeParagraf"/>
        <w:numPr>
          <w:ilvl w:val="0"/>
          <w:numId w:val="1"/>
        </w:numPr>
        <w:bidi/>
        <w:spacing w:after="60"/>
        <w:jc w:val="both"/>
      </w:pPr>
      <w:r>
        <w:rPr>
          <w:rFonts w:ascii="Calibri" w:hAnsi="Calibri" w:cs="Arial"/>
          <w:rtl/>
          <w:sz w:val="24"/>
          <w:szCs w:val="24"/>
        </w:rPr>
        <w:t xml:space="preserve">نسبة الإجراءات التي ثبتت فعاليتها عند إعادة التقييم،</w:t>
      </w:r>
    </w:p>
    <w:p>
      <w:pPr>
        <w:pStyle w:val="ListeParagraf"/>
        <w:numPr>
          <w:ilvl w:val="0"/>
          <w:numId w:val="1"/>
        </w:numPr>
        <w:bidi/>
        <w:spacing w:after="60"/>
        <w:jc w:val="both"/>
      </w:pPr>
      <w:r>
        <w:rPr>
          <w:rFonts w:ascii="Calibri" w:hAnsi="Calibri" w:cs="Arial"/>
          <w:rtl/>
          <w:sz w:val="24"/>
          <w:szCs w:val="24"/>
        </w:rPr>
        <w:t xml:space="preserve">عدد الفرص التي تم تحقيقها خلال العام،</w:t>
      </w:r>
    </w:p>
    <w:p>
      <w:pPr>
        <w:pStyle w:val="ListeParagraf"/>
        <w:numPr>
          <w:ilvl w:val="0"/>
          <w:numId w:val="1"/>
        </w:numPr>
        <w:bidi/>
        <w:spacing w:after="60"/>
        <w:jc w:val="both"/>
      </w:pPr>
      <w:r>
        <w:rPr>
          <w:rFonts w:ascii="Calibri" w:hAnsi="Calibri" w:cs="Arial"/>
          <w:rtl/>
          <w:sz w:val="24"/>
          <w:szCs w:val="24"/>
        </w:rPr>
        <w:t xml:space="preserve">عدد الطلبيات التي بدأ إنتاجها دون تحليل مخاطر بعد الطلبية (الهدف: 0).</w:t>
      </w:r>
    </w:p>
    <w:p>
      <w:pPr>
        <w:pStyle w:val="ListeParagraf"/>
        <w:bidi/>
        <w:spacing w:after="80"/>
        <w:ind w:left="0" w:right="709"/>
        <w:jc w:val="both"/>
      </w:pPr>
      <w:r>
        <w:rPr>
          <w:rFonts w:ascii="Calibri" w:hAnsi="Calibri" w:cs="Arial"/>
          <w:rtl/>
          <w:sz w:val="24"/>
          <w:szCs w:val="24"/>
        </w:rPr>
        <w:t xml:space="preserve">7.2. تُحدد الأهداف في سياسة الشركة وتُحدّث عند الحاجة.</w:t>
      </w:r>
    </w:p>
    <w:p>
      <w:pPr>
        <w:pStyle w:val="ListeParagraf"/>
        <w:bidi/>
        <w:spacing w:after="80"/>
        <w:ind w:left="0" w:right="709"/>
        <w:jc w:val="both"/>
      </w:pPr>
    </w:p>
    <w:p>
      <w:pPr>
        <w:pStyle w:val="ListeParagraf"/>
        <w:bidi/>
        <w:spacing w:before="120" w:after="60"/>
        <w:ind w:left="0" w:right="709"/>
      </w:pPr>
      <w:r>
        <w:rPr>
          <w:rFonts w:ascii="Calibri" w:hAnsi="Calibri" w:cs="Arial"/>
          <w:b/>
          <w:bCs/>
          <w:rtl/>
          <w:sz w:val="24"/>
          <w:szCs w:val="24"/>
        </w:rPr>
        <w:t xml:space="preserve">8. الوثائق والسجلات ذات الصلة</w:t>
      </w:r>
    </w:p>
    <w:p>
      <w:pPr>
        <w:pStyle w:val="ListeParagraf"/>
        <w:numPr>
          <w:ilvl w:val="0"/>
          <w:numId w:val="1"/>
        </w:numPr>
        <w:bidi/>
        <w:spacing w:after="60"/>
        <w:jc w:val="both"/>
      </w:pPr>
      <w:r>
        <w:rPr>
          <w:rFonts w:ascii="Calibri" w:hAnsi="Calibri" w:cs="Arial"/>
          <w:rtl/>
          <w:sz w:val="24"/>
          <w:szCs w:val="24"/>
        </w:rPr>
        <w:t xml:space="preserve">سجل المخاطر والفرص</w:t>
      </w:r>
    </w:p>
    <w:p>
      <w:pPr>
        <w:pStyle w:val="ListeParagraf"/>
        <w:numPr>
          <w:ilvl w:val="0"/>
          <w:numId w:val="1"/>
        </w:numPr>
        <w:bidi/>
        <w:spacing w:after="60"/>
        <w:jc w:val="both"/>
      </w:pPr>
      <w:r>
        <w:rPr>
          <w:rFonts w:ascii="Calibri" w:hAnsi="Calibri" w:cs="Arial"/>
          <w:rtl/>
          <w:sz w:val="24"/>
          <w:szCs w:val="24"/>
        </w:rPr>
        <w:t xml:space="preserve">قائمة متابعة الإجراءات</w:t>
      </w:r>
    </w:p>
    <w:p>
      <w:pPr>
        <w:pStyle w:val="ListeParagraf"/>
        <w:numPr>
          <w:ilvl w:val="0"/>
          <w:numId w:val="1"/>
        </w:numPr>
        <w:bidi/>
        <w:spacing w:after="60"/>
        <w:jc w:val="both"/>
      </w:pPr>
      <w:r>
        <w:rPr>
          <w:rFonts w:ascii="Calibri" w:hAnsi="Calibri" w:cs="Arial"/>
          <w:rtl/>
          <w:sz w:val="24"/>
          <w:szCs w:val="24"/>
        </w:rPr>
        <w:t xml:space="preserve">EMS.QA.FRM.00.01. سجل تحليل المخاطر بعد الطلبية</w:t>
      </w:r>
    </w:p>
    <w:p>
      <w:pPr>
        <w:pStyle w:val="ListeParagraf"/>
        <w:numPr>
          <w:ilvl w:val="0"/>
          <w:numId w:val="1"/>
        </w:numPr>
        <w:bidi/>
        <w:spacing w:after="60"/>
        <w:jc w:val="both"/>
      </w:pPr>
      <w:r>
        <w:rPr>
          <w:rFonts w:ascii="Calibri" w:hAnsi="Calibri" w:cs="Arial"/>
          <w:rtl/>
          <w:sz w:val="24"/>
          <w:szCs w:val="24"/>
        </w:rPr>
        <w:t xml:space="preserve">EMS.QA.FRM.00.02. سجل تحليل المخاطر</w:t>
      </w:r>
    </w:p>
    <w:p>
      <w:pPr>
        <w:pStyle w:val="ListeParagraf"/>
        <w:numPr>
          <w:ilvl w:val="0"/>
          <w:numId w:val="1"/>
        </w:numPr>
        <w:bidi/>
        <w:spacing w:after="60"/>
        <w:jc w:val="both"/>
      </w:pPr>
      <w:r>
        <w:rPr>
          <w:rFonts w:ascii="Calibri" w:hAnsi="Calibri" w:cs="Arial"/>
          <w:rtl/>
          <w:sz w:val="24"/>
          <w:szCs w:val="24"/>
        </w:rPr>
        <w:t xml:space="preserve">PRS-ONH-02 إجراء تحليل المخاطر؛ TLM-ONH-02 تعليمات إدارة اجتماع تحليل المخاطر</w:t>
      </w:r>
    </w:p>
    <w:p>
      <w:pPr>
        <w:pStyle w:val="ListeParagraf"/>
        <w:numPr>
          <w:ilvl w:val="0"/>
          <w:numId w:val="1"/>
        </w:numPr>
        <w:bidi/>
        <w:spacing w:after="60"/>
        <w:jc w:val="both"/>
      </w:pPr>
      <w:r>
        <w:rPr>
          <w:rFonts w:ascii="Calibri" w:hAnsi="Calibri" w:cs="Arial"/>
          <w:rtl/>
          <w:sz w:val="24"/>
          <w:szCs w:val="24"/>
        </w:rPr>
        <w:t xml:space="preserve">EMS.ÜR.PRO.05.03. إجراء مراجعة الطلبية (العقد)</w:t>
      </w:r>
    </w:p>
    <w:p>
      <w:pPr>
        <w:pStyle w:val="ListeParagraf"/>
        <w:numPr>
          <w:ilvl w:val="0"/>
          <w:numId w:val="1"/>
        </w:numPr>
        <w:bidi/>
        <w:spacing w:after="60"/>
        <w:jc w:val="both"/>
      </w:pPr>
      <w:r>
        <w:rPr>
          <w:rFonts w:ascii="Calibri" w:hAnsi="Calibri" w:cs="Arial"/>
          <w:rtl/>
          <w:sz w:val="24"/>
          <w:szCs w:val="24"/>
        </w:rPr>
        <w:t xml:space="preserve">EMS.YS.PRO.11.03. إجراء سياق المنظمة والأطراف المعنية</w:t>
      </w:r>
    </w:p>
    <w:p>
      <w:pPr>
        <w:pStyle w:val="ListeParagraf"/>
        <w:numPr>
          <w:ilvl w:val="0"/>
          <w:numId w:val="1"/>
        </w:numPr>
        <w:bidi/>
        <w:spacing w:after="60"/>
        <w:jc w:val="both"/>
      </w:pPr>
      <w:r>
        <w:rPr>
          <w:rFonts w:ascii="Calibri" w:hAnsi="Calibri" w:cs="Arial"/>
          <w:rtl/>
          <w:sz w:val="24"/>
          <w:szCs w:val="24"/>
        </w:rPr>
        <w:t xml:space="preserve">EMS.YS.PRO.11.02. إجراء التدقيق الداخلي وعدم المطابقة والإجراء التصحيحي</w:t>
      </w:r>
    </w:p>
    <w:p>
      <w:pPr>
        <w:pStyle w:val="ListeParagraf"/>
        <w:numPr>
          <w:ilvl w:val="0"/>
          <w:numId w:val="1"/>
        </w:numPr>
        <w:bidi/>
        <w:spacing w:after="60"/>
        <w:jc w:val="both"/>
      </w:pPr>
      <w:r>
        <w:rPr>
          <w:rFonts w:ascii="Calibri" w:hAnsi="Calibri" w:cs="Arial"/>
          <w:rtl/>
          <w:sz w:val="24"/>
          <w:szCs w:val="24"/>
        </w:rPr>
        <w:t xml:space="preserve">EMS.YS.PRO.11.05. إجراء مراجعة الإدارة</w:t>
      </w:r>
    </w:p>
    <w:p>
      <w:pPr>
        <w:pStyle w:val="ListeParagraf"/>
        <w:numPr>
          <w:ilvl w:val="0"/>
          <w:numId w:val="1"/>
        </w:numPr>
        <w:bidi/>
        <w:spacing w:after="60"/>
        <w:jc w:val="both"/>
      </w:pPr>
      <w:r>
        <w:rPr>
          <w:rFonts w:ascii="Calibri" w:hAnsi="Calibri" w:cs="Arial"/>
          <w:rtl/>
          <w:sz w:val="24"/>
          <w:szCs w:val="24"/>
        </w:rPr>
        <w:t xml:space="preserve">EMS.ÇV.PRO.19.01. إجراء تقييم الجوانب والآثار البيئية</w:t>
      </w:r>
    </w:p>
    <w:p>
      <w:pPr>
        <w:pStyle w:val="ListeParagraf"/>
        <w:numPr>
          <w:ilvl w:val="0"/>
          <w:numId w:val="1"/>
        </w:numPr>
        <w:bidi/>
        <w:spacing w:after="60"/>
        <w:jc w:val="both"/>
      </w:pPr>
      <w:r>
        <w:rPr>
          <w:rFonts w:ascii="Calibri" w:hAnsi="Calibri" w:cs="Arial"/>
          <w:rtl/>
          <w:sz w:val="24"/>
          <w:szCs w:val="24"/>
        </w:rPr>
        <w:t xml:space="preserve">EMS.İS.PRO.18.01. إجراء تحديد المخاطر وتقييمها</w:t>
      </w:r>
    </w:p>
    <w:p>
      <w:pPr>
        <w:pStyle w:val="ListeParagraf"/>
        <w:numPr>
          <w:ilvl w:val="0"/>
          <w:numId w:val="1"/>
        </w:numPr>
        <w:bidi/>
        <w:spacing w:after="60"/>
        <w:jc w:val="both"/>
      </w:pPr>
      <w:r>
        <w:rPr>
          <w:rFonts w:ascii="Calibri" w:hAnsi="Calibri" w:cs="Arial"/>
          <w:rtl/>
          <w:sz w:val="24"/>
          <w:szCs w:val="24"/>
        </w:rPr>
        <w:t xml:space="preserve">EMS.İS.PRO.18.17. إجراء إدارة التغيير</w:t>
      </w:r>
    </w:p>
    <w:p>
      <w:pPr>
        <w:pStyle w:val="ListeParagraf"/>
        <w:numPr>
          <w:ilvl w:val="0"/>
          <w:numId w:val="1"/>
        </w:numPr>
        <w:bidi/>
        <w:spacing w:after="60"/>
        <w:jc w:val="both"/>
      </w:pPr>
      <w:r>
        <w:rPr>
          <w:rFonts w:ascii="Calibri" w:hAnsi="Calibri" w:cs="Arial"/>
          <w:rtl/>
          <w:sz w:val="24"/>
          <w:szCs w:val="24"/>
        </w:rPr>
        <w:t xml:space="preserve">EMS.İD.PRO.03.06. إجراء تقييم المخاطر الأمنية وأمن الأفراد</w:t>
      </w:r>
    </w:p>
    <w:p>
      <w:pPr>
        <w:pStyle w:val="ListeParagraf"/>
        <w:bidi/>
        <w:spacing w:after="80"/>
        <w:ind w:left="0" w:right="709"/>
        <w:jc w:val="both"/>
      </w:pPr>
    </w:p>
    <w:p>
      <w:pPr>
        <w:pStyle w:val="ListeParagraf"/>
        <w:bidi/>
        <w:spacing w:before="120" w:after="60"/>
        <w:ind w:left="0" w:right="709"/>
      </w:pPr>
      <w:r>
        <w:rPr>
          <w:rFonts w:ascii="Calibri" w:hAnsi="Calibri" w:cs="Arial"/>
          <w:b/>
          <w:bCs/>
          <w:rtl/>
          <w:sz w:val="24"/>
          <w:szCs w:val="24"/>
        </w:rPr>
        <w:t xml:space="preserve">9. التغذية الراجعة والمتابعة</w:t>
      </w:r>
    </w:p>
    <w:p>
      <w:pPr>
        <w:pStyle w:val="ListeParagraf"/>
        <w:bidi/>
        <w:spacing w:after="80"/>
        <w:ind w:left="0" w:right="709"/>
        <w:jc w:val="both"/>
      </w:pPr>
      <w:r>
        <w:rPr>
          <w:rFonts w:ascii="Calibri" w:hAnsi="Calibri" w:cs="Arial"/>
          <w:rtl/>
          <w:sz w:val="24"/>
          <w:szCs w:val="24"/>
        </w:rPr>
        <w:t xml:space="preserve">يُراجع هذا الإجراء سنويًا من قبل ممثل نظام الإدارة. وتُقيّم ملاحظات مديري الأقسام ونتائج التدقيق والتغيرات في السياق، ويُعدل الإجراء عند الحاجة. وتُحفظ السجلات لمدة ثلاث سنوات.</w:t>
      </w:r>
    </w:p>
    <w:p w14:paraId="09C717F6" w14:textId="77777777" w:rsidR="00492105" w:rsidRDefault="00492105" w:rsidP="00E34A01">
      <w:pPr>
        <w:pStyle w:val="ListeParagraf"/>
        <w:keepNext/>
        <w:ind w:left="709"/>
        <w:rPr>
          <w:rFonts w:ascii="Calibri" w:hAnsi="Calibri" w:cs="Calibri"/>
          <w:sz w:val="24"/>
          <w:szCs w:val="24"/>
        </w:rPr>
      </w:pPr>
    </w:p>
    <w:p w14:paraId="398C0755" w14:textId="3C545F43" w:rsidR="00492105" w:rsidRPr="00492105" w:rsidRDefault="00492105" w:rsidP="00E34A01">
      <w:pPr>
        <w:pStyle w:val="ListeParagraf"/>
        <w:keepNext/>
        <w:ind w:left="709"/>
        <w:rPr>
          <w:rFonts w:ascii="Calibri" w:hAnsi="Calibri" w:cs="Calibri"/>
          <w:b/>
          <w:bCs/>
          <w:sz w:val="24"/>
          <w:szCs w:val="24"/>
        </w:rPr>
      </w:pPr>
      <w:r w:rsidRPr="00492105">
        <w:rPr>
          <w:rFonts w:ascii="Calibri" w:hAnsi="Calibri" w:cs="Calibri"/>
          <w:b/>
          <w:bCs/>
          <w:sz w:val="24"/>
          <w:szCs w:val="24"/>
        </w:rPr>
        <w:t>ONAYLAYANLAR:</w:t>
      </w:r>
    </w:p>
    <w:tbl>
      <w:tblPr>
        <w:tblW w:w="10080" w:type="dxa"/>
        <w:tblInd w:w="629" w:type="dxa"/>
        <w:tblLook w:val="04A0" w:firstRow="1" w:lastRow="0" w:firstColumn="1" w:lastColumn="0" w:noHBand="0" w:noVBand="1"/>
      </w:tblPr>
      <w:tblGrid>
        <w:gridCol w:w="2340"/>
        <w:gridCol w:w="240"/>
        <w:gridCol w:w="2340"/>
        <w:gridCol w:w="240"/>
        <w:gridCol w:w="2340"/>
        <w:gridCol w:w="240"/>
        <w:gridCol w:w="2340"/>
      </w:tblGrid>
      <w:tr w:rsidR="00492105" w:rsidRPr="00892FF4" w14:paraId="54FA6C08" w14:textId="77777777" w:rsidTr="00CC5D8D">
        <w:trPr>
          <w:cantSplit/>
          <w:trHeight w:val="291"/>
        </w:trPr>
        <w:tc>
          <w:tcPr>
            <w:tcW w:w="2340" w:type="dxa"/>
            <w:tcBorders>
              <w:top w:val="nil"/>
              <w:left w:val="nil"/>
              <w:bottom w:val="single" w:sz="4" w:space="0" w:color="auto"/>
              <w:right w:val="nil"/>
            </w:tcBorders>
            <w:vAlign w:val="bottom"/>
          </w:tcPr>
          <w:p w14:paraId="3217A91A" w14:textId="77777777" w:rsidR="00492105" w:rsidRPr="000C2D4C" w:rsidRDefault="00492105" w:rsidP="00CC5D8D">
            <w:pPr>
              <w:keepNext/>
              <w:spacing w:after="0" w:line="240" w:lineRule="auto"/>
              <w:jc w:val="center"/>
              <w:rPr>
                <w:rFonts w:ascii="Calibri" w:eastAsia="Times New Roman" w:hAnsi="Calibri" w:cs="Calibri"/>
                <w:b/>
                <w:bCs/>
                <w:color w:val="000000"/>
                <w:sz w:val="2"/>
                <w:szCs w:val="2"/>
                <w:lang w:val="en-GB" w:eastAsia="en-GB"/>
              </w:rPr>
            </w:pPr>
          </w:p>
        </w:tc>
        <w:tc>
          <w:tcPr>
            <w:tcW w:w="240" w:type="dxa"/>
            <w:tcBorders>
              <w:top w:val="nil"/>
              <w:left w:val="nil"/>
              <w:bottom w:val="nil"/>
              <w:right w:val="nil"/>
            </w:tcBorders>
            <w:noWrap/>
            <w:vAlign w:val="bottom"/>
          </w:tcPr>
          <w:p w14:paraId="50BF1227" w14:textId="77777777" w:rsidR="00492105" w:rsidRPr="00892FF4" w:rsidRDefault="00492105" w:rsidP="00CC5D8D">
            <w:pPr>
              <w:keepNext/>
              <w:spacing w:after="0" w:line="240" w:lineRule="auto"/>
              <w:jc w:val="center"/>
              <w:rPr>
                <w:rFonts w:ascii="Calibri" w:eastAsia="Times New Roman" w:hAnsi="Calibri" w:cs="Calibri"/>
                <w:b/>
                <w:bCs/>
                <w:color w:val="000000"/>
                <w:lang w:val="en-GB" w:eastAsia="en-GB"/>
              </w:rPr>
            </w:pPr>
          </w:p>
        </w:tc>
        <w:tc>
          <w:tcPr>
            <w:tcW w:w="2340" w:type="dxa"/>
            <w:tcBorders>
              <w:top w:val="nil"/>
              <w:left w:val="nil"/>
              <w:bottom w:val="single" w:sz="4" w:space="0" w:color="auto"/>
              <w:right w:val="nil"/>
            </w:tcBorders>
            <w:vAlign w:val="center"/>
          </w:tcPr>
          <w:p w14:paraId="4D2843E0" w14:textId="77777777" w:rsidR="00492105" w:rsidRPr="000326A8" w:rsidRDefault="00492105" w:rsidP="00CC5D8D">
            <w:pPr>
              <w:keepNext/>
              <w:spacing w:after="0" w:line="240" w:lineRule="auto"/>
              <w:jc w:val="center"/>
              <w:rPr>
                <w:rFonts w:ascii="Calibri" w:eastAsia="Times New Roman" w:hAnsi="Calibri" w:cs="Calibri"/>
                <w:b/>
                <w:bCs/>
                <w:color w:val="000000"/>
                <w:sz w:val="19"/>
                <w:szCs w:val="19"/>
                <w:lang w:val="en-GB" w:eastAsia="en-GB"/>
              </w:rPr>
            </w:pPr>
          </w:p>
        </w:tc>
        <w:tc>
          <w:tcPr>
            <w:tcW w:w="240" w:type="dxa"/>
            <w:tcBorders>
              <w:top w:val="nil"/>
              <w:left w:val="nil"/>
              <w:bottom w:val="nil"/>
              <w:right w:val="nil"/>
            </w:tcBorders>
            <w:noWrap/>
            <w:vAlign w:val="bottom"/>
          </w:tcPr>
          <w:p w14:paraId="1CC0BCD2" w14:textId="77777777" w:rsidR="00492105" w:rsidRPr="00892FF4" w:rsidRDefault="00492105" w:rsidP="00CC5D8D">
            <w:pPr>
              <w:keepNext/>
              <w:spacing w:after="0" w:line="240" w:lineRule="auto"/>
              <w:jc w:val="center"/>
              <w:rPr>
                <w:rFonts w:ascii="Calibri" w:eastAsia="Times New Roman" w:hAnsi="Calibri" w:cs="Calibri"/>
                <w:b/>
                <w:bCs/>
                <w:color w:val="000000"/>
                <w:lang w:val="en-GB" w:eastAsia="en-GB"/>
              </w:rPr>
            </w:pPr>
          </w:p>
        </w:tc>
        <w:tc>
          <w:tcPr>
            <w:tcW w:w="2340" w:type="dxa"/>
            <w:tcBorders>
              <w:top w:val="nil"/>
              <w:left w:val="nil"/>
              <w:bottom w:val="single" w:sz="4" w:space="0" w:color="auto"/>
              <w:right w:val="nil"/>
            </w:tcBorders>
            <w:vAlign w:val="center"/>
          </w:tcPr>
          <w:p w14:paraId="291892F7" w14:textId="77777777" w:rsidR="00492105" w:rsidRPr="000326A8" w:rsidRDefault="00492105" w:rsidP="00CC5D8D">
            <w:pPr>
              <w:keepNext/>
              <w:spacing w:after="0" w:line="240" w:lineRule="auto"/>
              <w:jc w:val="center"/>
              <w:rPr>
                <w:rFonts w:ascii="Calibri" w:eastAsia="Times New Roman" w:hAnsi="Calibri" w:cs="Calibri"/>
                <w:b/>
                <w:bCs/>
                <w:color w:val="000000"/>
                <w:sz w:val="19"/>
                <w:szCs w:val="19"/>
                <w:lang w:val="en-GB" w:eastAsia="en-GB"/>
              </w:rPr>
            </w:pPr>
          </w:p>
        </w:tc>
        <w:tc>
          <w:tcPr>
            <w:tcW w:w="240" w:type="dxa"/>
            <w:tcBorders>
              <w:top w:val="nil"/>
              <w:left w:val="nil"/>
              <w:bottom w:val="nil"/>
              <w:right w:val="nil"/>
            </w:tcBorders>
            <w:noWrap/>
            <w:vAlign w:val="bottom"/>
          </w:tcPr>
          <w:p w14:paraId="2ECADCEE" w14:textId="77777777" w:rsidR="00492105" w:rsidRPr="00892FF4" w:rsidRDefault="00492105" w:rsidP="00CC5D8D">
            <w:pPr>
              <w:keepNext/>
              <w:spacing w:after="0" w:line="240" w:lineRule="auto"/>
              <w:jc w:val="center"/>
              <w:rPr>
                <w:rFonts w:ascii="Calibri" w:eastAsia="Times New Roman" w:hAnsi="Calibri" w:cs="Calibri"/>
                <w:b/>
                <w:bCs/>
                <w:color w:val="000000"/>
                <w:lang w:val="en-GB" w:eastAsia="en-GB"/>
              </w:rPr>
            </w:pPr>
          </w:p>
        </w:tc>
        <w:tc>
          <w:tcPr>
            <w:tcW w:w="2340" w:type="dxa"/>
            <w:tcBorders>
              <w:top w:val="nil"/>
              <w:left w:val="nil"/>
              <w:bottom w:val="single" w:sz="4" w:space="0" w:color="auto"/>
              <w:right w:val="nil"/>
            </w:tcBorders>
            <w:vAlign w:val="bottom"/>
          </w:tcPr>
          <w:p w14:paraId="378A7013" w14:textId="77777777" w:rsidR="00492105" w:rsidRPr="000326A8" w:rsidRDefault="00492105" w:rsidP="00CC5D8D">
            <w:pPr>
              <w:keepNext/>
              <w:spacing w:after="0" w:line="240" w:lineRule="auto"/>
              <w:jc w:val="center"/>
              <w:rPr>
                <w:rFonts w:ascii="Calibri" w:eastAsia="Times New Roman" w:hAnsi="Calibri" w:cs="Calibri"/>
                <w:b/>
                <w:bCs/>
                <w:color w:val="000000"/>
                <w:sz w:val="19"/>
                <w:szCs w:val="19"/>
                <w:lang w:val="en-GB" w:eastAsia="en-GB"/>
              </w:rPr>
            </w:pPr>
          </w:p>
        </w:tc>
      </w:tr>
      <w:tr w:rsidR="00492105" w:rsidRPr="00892FF4" w14:paraId="21C65BCE" w14:textId="77777777" w:rsidTr="00CC5D8D">
        <w:trPr>
          <w:cantSplit/>
          <w:trHeight w:val="466"/>
        </w:trPr>
        <w:tc>
          <w:tcPr>
            <w:tcW w:w="2340" w:type="dxa"/>
            <w:tcBorders>
              <w:top w:val="single" w:sz="4" w:space="0" w:color="auto"/>
              <w:left w:val="single" w:sz="4" w:space="0" w:color="auto"/>
              <w:bottom w:val="single" w:sz="4" w:space="0" w:color="auto"/>
              <w:right w:val="single" w:sz="4" w:space="0" w:color="auto"/>
            </w:tcBorders>
            <w:vAlign w:val="bottom"/>
          </w:tcPr>
          <w:p w14:paraId="260F54A9" w14:textId="77777777" w:rsidR="00492105" w:rsidRPr="00792717" w:rsidRDefault="00492105" w:rsidP="00CC5D8D">
            <w:pPr>
              <w:keepNext/>
              <w:spacing w:after="0" w:line="240" w:lineRule="auto"/>
              <w:jc w:val="center"/>
              <w:rPr>
                <w:rFonts w:ascii="Calibri" w:eastAsia="Times New Roman" w:hAnsi="Calibri" w:cs="Calibri"/>
                <w:color w:val="000000"/>
                <w:sz w:val="18"/>
                <w:szCs w:val="18"/>
                <w:lang w:eastAsia="en-GB"/>
              </w:rPr>
            </w:pPr>
            <w:r w:rsidRPr="00792717">
              <w:rPr>
                <w:rFonts w:ascii="Calibri" w:eastAsia="Times New Roman" w:hAnsi="Calibri" w:cs="Calibri"/>
                <w:color w:val="000000"/>
                <w:sz w:val="18"/>
                <w:szCs w:val="18"/>
                <w:lang w:eastAsia="en-GB"/>
              </w:rPr>
              <w:t xml:space="preserve">Strateji ve Süreç Geliştirme Müdürü                </w:t>
            </w:r>
            <w:r w:rsidRPr="00792717">
              <w:rPr>
                <w:rFonts w:ascii="Calibri" w:eastAsia="Times New Roman" w:hAnsi="Calibri" w:cs="Calibri"/>
                <w:color w:val="000000"/>
                <w:sz w:val="18"/>
                <w:szCs w:val="18"/>
                <w:lang w:eastAsia="en-GB"/>
              </w:rPr>
              <w:br/>
            </w:r>
            <w:r w:rsidRPr="00792717">
              <w:rPr>
                <w:rFonts w:ascii="Calibri" w:eastAsia="Times New Roman" w:hAnsi="Calibri" w:cs="Calibri"/>
                <w:b/>
                <w:bCs/>
                <w:color w:val="000000"/>
                <w:sz w:val="18"/>
                <w:szCs w:val="18"/>
                <w:lang w:eastAsia="en-GB"/>
              </w:rPr>
              <w:t>BAHAR YILDIRIM</w:t>
            </w:r>
          </w:p>
        </w:tc>
        <w:tc>
          <w:tcPr>
            <w:tcW w:w="240" w:type="dxa"/>
            <w:tcBorders>
              <w:top w:val="nil"/>
              <w:left w:val="nil"/>
              <w:bottom w:val="nil"/>
              <w:right w:val="nil"/>
            </w:tcBorders>
            <w:noWrap/>
            <w:vAlign w:val="bottom"/>
          </w:tcPr>
          <w:p w14:paraId="352FA47F" w14:textId="77777777" w:rsidR="00492105" w:rsidRPr="00792717" w:rsidRDefault="00492105" w:rsidP="00CC5D8D">
            <w:pPr>
              <w:keepNext/>
              <w:spacing w:after="0" w:line="240" w:lineRule="auto"/>
              <w:jc w:val="center"/>
              <w:rPr>
                <w:rFonts w:ascii="Calibri" w:eastAsia="Times New Roman" w:hAnsi="Calibri" w:cs="Calibri"/>
                <w:color w:val="000000"/>
                <w:sz w:val="18"/>
                <w:szCs w:val="18"/>
                <w:lang w:eastAsia="en-GB"/>
              </w:rPr>
            </w:pPr>
          </w:p>
        </w:tc>
        <w:tc>
          <w:tcPr>
            <w:tcW w:w="2340" w:type="dxa"/>
            <w:tcBorders>
              <w:top w:val="single" w:sz="4" w:space="0" w:color="auto"/>
              <w:left w:val="single" w:sz="4" w:space="0" w:color="auto"/>
              <w:bottom w:val="single" w:sz="4" w:space="0" w:color="auto"/>
              <w:right w:val="single" w:sz="4" w:space="0" w:color="auto"/>
            </w:tcBorders>
            <w:vAlign w:val="bottom"/>
          </w:tcPr>
          <w:p w14:paraId="7FC67273" w14:textId="77777777" w:rsidR="00492105" w:rsidRPr="00792717" w:rsidRDefault="00492105" w:rsidP="00CC5D8D">
            <w:pPr>
              <w:keepNext/>
              <w:spacing w:after="0" w:line="240" w:lineRule="auto"/>
              <w:jc w:val="center"/>
              <w:rPr>
                <w:rFonts w:ascii="Calibri" w:eastAsia="Times New Roman" w:hAnsi="Calibri" w:cs="Calibri"/>
                <w:color w:val="000000"/>
                <w:sz w:val="18"/>
                <w:szCs w:val="18"/>
                <w:lang w:eastAsia="en-GB"/>
              </w:rPr>
            </w:pPr>
            <w:r w:rsidRPr="00792717">
              <w:rPr>
                <w:rFonts w:ascii="Calibri" w:eastAsia="Times New Roman" w:hAnsi="Calibri" w:cs="Calibri"/>
                <w:color w:val="000000"/>
                <w:sz w:val="18"/>
                <w:szCs w:val="18"/>
                <w:lang w:eastAsia="en-GB"/>
              </w:rPr>
              <w:t>İnsan Kaynakları Grup Müdürü</w:t>
            </w:r>
            <w:r w:rsidRPr="00792717">
              <w:rPr>
                <w:rFonts w:ascii="Calibri" w:eastAsia="Times New Roman" w:hAnsi="Calibri" w:cs="Calibri"/>
                <w:b/>
                <w:bCs/>
                <w:color w:val="000000"/>
                <w:sz w:val="18"/>
                <w:szCs w:val="18"/>
                <w:lang w:eastAsia="en-GB"/>
              </w:rPr>
              <w:br/>
              <w:t>ALİ KAAN GENÇ</w:t>
            </w:r>
          </w:p>
        </w:tc>
        <w:tc>
          <w:tcPr>
            <w:tcW w:w="240" w:type="dxa"/>
            <w:tcBorders>
              <w:top w:val="nil"/>
              <w:left w:val="nil"/>
              <w:bottom w:val="nil"/>
              <w:right w:val="nil"/>
            </w:tcBorders>
            <w:noWrap/>
            <w:vAlign w:val="bottom"/>
            <w:hideMark/>
          </w:tcPr>
          <w:p w14:paraId="7B21AF91" w14:textId="77777777" w:rsidR="00492105" w:rsidRPr="00792717" w:rsidRDefault="00492105" w:rsidP="00CC5D8D">
            <w:pPr>
              <w:keepNext/>
              <w:spacing w:after="0" w:line="240" w:lineRule="auto"/>
              <w:jc w:val="center"/>
              <w:rPr>
                <w:rFonts w:ascii="Calibri" w:eastAsia="Times New Roman" w:hAnsi="Calibri" w:cs="Calibri"/>
                <w:color w:val="000000"/>
                <w:sz w:val="18"/>
                <w:szCs w:val="18"/>
                <w:lang w:eastAsia="en-GB"/>
              </w:rPr>
            </w:pPr>
          </w:p>
        </w:tc>
        <w:tc>
          <w:tcPr>
            <w:tcW w:w="2340" w:type="dxa"/>
            <w:tcBorders>
              <w:top w:val="single" w:sz="4" w:space="0" w:color="auto"/>
              <w:left w:val="single" w:sz="4" w:space="0" w:color="auto"/>
              <w:bottom w:val="single" w:sz="4" w:space="0" w:color="auto"/>
              <w:right w:val="single" w:sz="4" w:space="0" w:color="auto"/>
            </w:tcBorders>
            <w:vAlign w:val="bottom"/>
            <w:hideMark/>
          </w:tcPr>
          <w:p w14:paraId="0DF0CACB" w14:textId="703AF90F" w:rsidR="00792717" w:rsidRDefault="00792717" w:rsidP="00792717">
            <w:pPr>
              <w:keepNext/>
              <w:spacing w:after="0" w:line="240" w:lineRule="auto"/>
              <w:rPr>
                <w:rFonts w:ascii="Calibri" w:eastAsia="Times New Roman" w:hAnsi="Calibri" w:cs="Calibri"/>
                <w:color w:val="000000"/>
                <w:sz w:val="18"/>
                <w:szCs w:val="18"/>
                <w:lang w:eastAsia="en-GB"/>
              </w:rPr>
            </w:pPr>
            <w:r w:rsidR="008D54D7">
              <w:rPr>
                <w:rFonts w:ascii="Calibri" w:eastAsia="Times New Roman" w:hAnsi="Calibri" w:cs="Calibri"/>
                <w:noProof/>
                <w:color w:val="000000"/>
                <w:lang w:val="en-GB" w:eastAsia="en-GB"/>
              </w:rPr>
              <w:t>Kalite Güvence Müdürü</w:t>
            </w:r>
          </w:p>
          <w:p w14:paraId="3B46FFE6" w14:textId="443F423D" w:rsidR="00492105" w:rsidRPr="00792717" w:rsidRDefault="00492105" w:rsidP="00792717">
            <w:pPr>
              <w:keepNext/>
              <w:spacing w:after="0" w:line="240" w:lineRule="auto"/>
              <w:jc w:val="center"/>
              <w:rPr>
                <w:rFonts w:ascii="Calibri" w:eastAsia="Times New Roman" w:hAnsi="Calibri" w:cs="Calibri"/>
                <w:b/>
                <w:bCs/>
                <w:color w:val="000000"/>
                <w:sz w:val="18"/>
                <w:szCs w:val="18"/>
                <w:lang w:val="en-GB" w:eastAsia="en-GB"/>
              </w:rPr>
            </w:pPr>
            <w:r w:rsidRPr="00305ADA">
              <w:rPr>
                <w:rFonts w:ascii="Calibri" w:eastAsia="Times New Roman" w:hAnsi="Calibri" w:cs="Calibri"/>
                <w:b/>
                <w:bCs/>
                <w:color w:val="000000"/>
                <w:sz w:val="18"/>
                <w:szCs w:val="18"/>
                <w:lang w:val="en-GB" w:eastAsia="en-GB"/>
              </w:rPr>
              <w:br/>
            </w:r>
            <w:r w:rsidR="00792717" w:rsidRPr="00792717">
              <w:rPr>
                <w:rFonts w:ascii="Calibri" w:eastAsia="Times New Roman" w:hAnsi="Calibri" w:cs="Calibri"/>
                <w:b/>
                <w:bCs/>
                <w:color w:val="000000"/>
                <w:sz w:val="18"/>
                <w:szCs w:val="18"/>
                <w:lang w:val="en-GB" w:eastAsia="en-GB"/>
              </w:rPr>
              <w:t>ABDULLAH BAYDOĞAN</w:t>
            </w:r>
          </w:p>
        </w:tc>
        <w:tc>
          <w:tcPr>
            <w:tcW w:w="240" w:type="dxa"/>
            <w:tcBorders>
              <w:top w:val="nil"/>
              <w:left w:val="nil"/>
              <w:bottom w:val="nil"/>
              <w:right w:val="nil"/>
            </w:tcBorders>
            <w:noWrap/>
            <w:vAlign w:val="bottom"/>
            <w:hideMark/>
          </w:tcPr>
          <w:p w14:paraId="2DD3F538" w14:textId="77777777" w:rsidR="00492105" w:rsidRPr="00892FF4" w:rsidRDefault="00492105" w:rsidP="00CC5D8D">
            <w:pPr>
              <w:keepNext/>
              <w:spacing w:after="0" w:line="240" w:lineRule="auto"/>
              <w:jc w:val="center"/>
              <w:rPr>
                <w:rFonts w:ascii="Calibri" w:eastAsia="Times New Roman" w:hAnsi="Calibri" w:cs="Calibri"/>
                <w:color w:val="000000"/>
                <w:sz w:val="18"/>
                <w:szCs w:val="18"/>
                <w:lang w:val="en-GB" w:eastAsia="en-GB"/>
              </w:rPr>
            </w:pPr>
          </w:p>
        </w:tc>
        <w:tc>
          <w:tcPr>
            <w:tcW w:w="2340" w:type="dxa"/>
            <w:tcBorders>
              <w:top w:val="single" w:sz="4" w:space="0" w:color="auto"/>
              <w:left w:val="single" w:sz="4" w:space="0" w:color="auto"/>
              <w:bottom w:val="single" w:sz="4" w:space="0" w:color="auto"/>
              <w:right w:val="single" w:sz="4" w:space="0" w:color="auto"/>
            </w:tcBorders>
            <w:vAlign w:val="bottom"/>
            <w:hideMark/>
          </w:tcPr>
          <w:p w14:paraId="404DEBA6" w14:textId="77777777" w:rsidR="00792717" w:rsidRDefault="00792717" w:rsidP="00792717">
            <w:pPr>
              <w:keepNext/>
              <w:spacing w:after="0" w:line="240" w:lineRule="auto"/>
              <w:jc w:val="center"/>
              <w:rPr>
                <w:rFonts w:ascii="Calibri" w:eastAsia="Times New Roman" w:hAnsi="Calibri" w:cs="Calibri"/>
                <w:color w:val="000000"/>
                <w:sz w:val="18"/>
                <w:szCs w:val="18"/>
                <w:lang w:val="en-GB" w:eastAsia="en-GB"/>
              </w:rPr>
            </w:pPr>
            <w:r>
              <w:rPr>
                <w:rFonts w:ascii="Calibri" w:eastAsia="Times New Roman" w:hAnsi="Calibri" w:cs="Calibri"/>
                <w:color w:val="000000"/>
                <w:sz w:val="18"/>
                <w:szCs w:val="18"/>
                <w:lang w:val="en-GB" w:eastAsia="en-GB"/>
              </w:rPr>
              <w:t>EMS Genel Müdürü</w:t>
            </w:r>
          </w:p>
          <w:p w14:paraId="5A0F8DF8" w14:textId="67DBE6B9" w:rsidR="00492105" w:rsidRPr="00892FF4" w:rsidRDefault="00492105" w:rsidP="00CC5D8D">
            <w:pPr>
              <w:keepNext/>
              <w:spacing w:after="0" w:line="240" w:lineRule="auto"/>
              <w:jc w:val="center"/>
              <w:rPr>
                <w:rFonts w:ascii="Calibri" w:eastAsia="Times New Roman" w:hAnsi="Calibri" w:cs="Calibri"/>
                <w:color w:val="000000"/>
                <w:sz w:val="18"/>
                <w:szCs w:val="18"/>
                <w:lang w:val="en-GB" w:eastAsia="en-GB"/>
              </w:rPr>
            </w:pPr>
            <w:r w:rsidRPr="00305ADA">
              <w:rPr>
                <w:rFonts w:ascii="Calibri" w:eastAsia="Times New Roman" w:hAnsi="Calibri" w:cs="Calibri"/>
                <w:b/>
                <w:bCs/>
                <w:color w:val="000000"/>
                <w:sz w:val="18"/>
                <w:szCs w:val="18"/>
                <w:lang w:val="en-GB" w:eastAsia="en-GB"/>
              </w:rPr>
              <w:br/>
            </w:r>
            <w:r w:rsidR="00792717">
              <w:rPr>
                <w:rFonts w:ascii="Calibri" w:eastAsia="Times New Roman" w:hAnsi="Calibri" w:cs="Calibri"/>
                <w:b/>
                <w:bCs/>
                <w:color w:val="000000"/>
                <w:sz w:val="18"/>
                <w:szCs w:val="18"/>
                <w:lang w:val="en-GB" w:eastAsia="en-GB"/>
              </w:rPr>
              <w:t>FATİH SALBARS</w:t>
            </w:r>
          </w:p>
        </w:tc>
      </w:tr>
      <w:tr w:rsidR="00492105" w:rsidRPr="00892FF4" w14:paraId="44B99370" w14:textId="77777777" w:rsidTr="00CC5D8D">
        <w:trPr>
          <w:cantSplit/>
          <w:trHeight w:val="288"/>
        </w:trPr>
        <w:tc>
          <w:tcPr>
            <w:tcW w:w="2340" w:type="dxa"/>
            <w:vMerge w:val="restart"/>
            <w:tcBorders>
              <w:top w:val="single" w:sz="4" w:space="0" w:color="auto"/>
              <w:left w:val="single" w:sz="4" w:space="0" w:color="auto"/>
              <w:right w:val="single" w:sz="4" w:space="0" w:color="auto"/>
            </w:tcBorders>
            <w:vAlign w:val="bottom"/>
          </w:tcPr>
          <w:p w14:paraId="51BCB937" w14:textId="77777777" w:rsidR="00492105" w:rsidRPr="00892FF4" w:rsidRDefault="00492105" w:rsidP="00CC5D8D">
            <w:pPr>
              <w:keepNext/>
              <w:spacing w:after="0" w:line="240" w:lineRule="auto"/>
              <w:jc w:val="center"/>
              <w:rPr>
                <w:rFonts w:ascii="Calibri" w:eastAsia="Times New Roman" w:hAnsi="Calibri" w:cs="Calibri"/>
                <w:color w:val="000000"/>
                <w:lang w:val="en-GB" w:eastAsia="en-GB"/>
              </w:rPr>
            </w:pPr>
          </w:p>
        </w:tc>
        <w:tc>
          <w:tcPr>
            <w:tcW w:w="240" w:type="dxa"/>
            <w:tcBorders>
              <w:top w:val="nil"/>
              <w:left w:val="single" w:sz="4" w:space="0" w:color="auto"/>
              <w:bottom w:val="nil"/>
              <w:right w:val="nil"/>
            </w:tcBorders>
            <w:noWrap/>
            <w:vAlign w:val="bottom"/>
          </w:tcPr>
          <w:p w14:paraId="501A427B" w14:textId="77777777" w:rsidR="00492105" w:rsidRPr="00892FF4" w:rsidRDefault="00492105" w:rsidP="00CC5D8D">
            <w:pPr>
              <w:keepNext/>
              <w:spacing w:after="0" w:line="240" w:lineRule="auto"/>
              <w:jc w:val="center"/>
              <w:rPr>
                <w:rFonts w:ascii="Calibri" w:eastAsia="Times New Roman" w:hAnsi="Calibri" w:cs="Calibri"/>
                <w:color w:val="000000"/>
                <w:lang w:val="en-GB" w:eastAsia="en-GB"/>
              </w:rPr>
            </w:pPr>
          </w:p>
        </w:tc>
        <w:tc>
          <w:tcPr>
            <w:tcW w:w="2340" w:type="dxa"/>
            <w:vMerge w:val="restart"/>
            <w:tcBorders>
              <w:top w:val="single" w:sz="4" w:space="0" w:color="auto"/>
              <w:left w:val="single" w:sz="4" w:space="0" w:color="auto"/>
              <w:bottom w:val="single" w:sz="4" w:space="0" w:color="auto"/>
              <w:right w:val="single" w:sz="4" w:space="0" w:color="auto"/>
            </w:tcBorders>
            <w:vAlign w:val="center"/>
          </w:tcPr>
          <w:p w14:paraId="1A7537CF" w14:textId="77777777" w:rsidR="00492105" w:rsidRPr="00892FF4" w:rsidRDefault="00492105" w:rsidP="00CC5D8D">
            <w:pPr>
              <w:keepNext/>
              <w:spacing w:after="0" w:line="240" w:lineRule="auto"/>
              <w:jc w:val="center"/>
              <w:rPr>
                <w:rFonts w:ascii="Calibri" w:eastAsia="Times New Roman" w:hAnsi="Calibri" w:cs="Calibri"/>
                <w:color w:val="000000"/>
                <w:lang w:val="en-GB" w:eastAsia="en-GB"/>
              </w:rPr>
            </w:pPr>
            <w:r>
              <w:drawing>
                <wp:inline distT="0" distB="0" distL="0" distR="0">
                  <wp:extent cx="659218" cy="566928"/>
                  <wp:effectExtent l="0" t="0" r="0" b="0"/>
                  <wp:docPr id="900102" name="Imza Ali Kaan Gen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102" name="Imza Ali Kaan Genc"/>
                          <pic:cNvPicPr/>
                        </pic:nvPicPr>
                        <pic:blipFill>
                          <a:blip r:embed="sigAliKaan"/>
                          <a:stretch>
                            <a:fillRect/>
                          </a:stretch>
                        </pic:blipFill>
                        <pic:spPr>
                          <a:xfrm>
                            <a:off x="0" y="0"/>
                            <a:ext cx="659218" cy="566928"/>
                          </a:xfrm>
                          <a:prstGeom prst="rect">
                            <a:avLst/>
                          </a:prstGeom>
                        </pic:spPr>
                      </pic:pic>
                    </a:graphicData>
                  </a:graphic>
                </wp:inline>
              </w:drawing>
            </w:r>
          </w:p>
        </w:tc>
        <w:tc>
          <w:tcPr>
            <w:tcW w:w="240" w:type="dxa"/>
            <w:tcBorders>
              <w:top w:val="nil"/>
              <w:left w:val="nil"/>
              <w:bottom w:val="nil"/>
              <w:right w:val="nil"/>
            </w:tcBorders>
            <w:noWrap/>
            <w:vAlign w:val="bottom"/>
          </w:tcPr>
          <w:p w14:paraId="1DEAD2D9" w14:textId="5A968D67" w:rsidR="00492105" w:rsidRPr="00892FF4" w:rsidRDefault="00492105" w:rsidP="00CC5D8D">
            <w:pPr>
              <w:keepNext/>
              <w:spacing w:after="0" w:line="240" w:lineRule="auto"/>
              <w:jc w:val="center"/>
              <w:rPr>
                <w:rFonts w:ascii="Calibri" w:eastAsia="Times New Roman" w:hAnsi="Calibri" w:cs="Calibri"/>
                <w:color w:val="000000"/>
                <w:lang w:val="en-GB" w:eastAsia="en-GB"/>
              </w:rPr>
            </w:pPr>
          </w:p>
        </w:tc>
        <w:tc>
          <w:tcPr>
            <w:tcW w:w="2340" w:type="dxa"/>
            <w:vMerge w:val="restart"/>
            <w:tcBorders>
              <w:top w:val="single" w:sz="4" w:space="0" w:color="auto"/>
              <w:left w:val="single" w:sz="4" w:space="0" w:color="auto"/>
              <w:bottom w:val="single" w:sz="4" w:space="0" w:color="auto"/>
              <w:right w:val="single" w:sz="4" w:space="0" w:color="auto"/>
            </w:tcBorders>
            <w:vAlign w:val="center"/>
          </w:tcPr>
          <w:p w14:paraId="54A78FB8" w14:textId="33A29CBB" w:rsidR="00492105" w:rsidRPr="00892FF4" w:rsidRDefault="00492105" w:rsidP="00CC5D8D">
            <w:pPr>
              <w:keepNext/>
              <w:spacing w:after="0" w:line="240" w:lineRule="auto"/>
              <w:jc w:val="center"/>
              <w:rPr>
                <w:rFonts w:ascii="Calibri" w:eastAsia="Times New Roman" w:hAnsi="Calibri" w:cs="Calibri"/>
                <w:color w:val="000000"/>
                <w:lang w:val="en-GB" w:eastAsia="en-GB"/>
              </w:rPr>
            </w:pPr>
            <w:r>
              <w:drawing>
                <wp:inline distT="0" distB="0" distL="0" distR="0">
                  <wp:extent cx="850392" cy="566928"/>
                  <wp:effectExtent l="0" t="0" r="0" b="0"/>
                  <wp:docPr id="900104" name="Imza Abdullah Baydog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104" name="Imza Abdullah Baydogan"/>
                          <pic:cNvPicPr/>
                        </pic:nvPicPr>
                        <pic:blipFill>
                          <a:blip r:embed="rId9"/>
                          <a:stretch>
                            <a:fillRect/>
                          </a:stretch>
                        </pic:blipFill>
                        <pic:spPr>
                          <a:xfrm>
                            <a:off x="0" y="0"/>
                            <a:ext cx="850392" cy="566928"/>
                          </a:xfrm>
                          <a:prstGeom prst="rect">
                            <a:avLst/>
                          </a:prstGeom>
                        </pic:spPr>
                      </pic:pic>
                    </a:graphicData>
                  </a:graphic>
                </wp:inline>
              </w:drawing>
            </w:r>
          </w:p>
        </w:tc>
        <w:tc>
          <w:tcPr>
            <w:tcW w:w="240" w:type="dxa"/>
            <w:tcBorders>
              <w:top w:val="nil"/>
              <w:left w:val="nil"/>
              <w:bottom w:val="nil"/>
              <w:right w:val="nil"/>
            </w:tcBorders>
            <w:noWrap/>
            <w:vAlign w:val="bottom"/>
          </w:tcPr>
          <w:p w14:paraId="3B416B39" w14:textId="77777777" w:rsidR="00492105" w:rsidRPr="00892FF4" w:rsidRDefault="00492105" w:rsidP="00CC5D8D">
            <w:pPr>
              <w:keepNext/>
              <w:spacing w:after="0" w:line="240" w:lineRule="auto"/>
              <w:jc w:val="center"/>
              <w:rPr>
                <w:rFonts w:ascii="Calibri" w:eastAsia="Times New Roman" w:hAnsi="Calibri" w:cs="Calibri"/>
                <w:color w:val="000000"/>
                <w:lang w:val="en-GB" w:eastAsia="en-GB"/>
              </w:rPr>
            </w:pPr>
          </w:p>
        </w:tc>
        <w:tc>
          <w:tcPr>
            <w:tcW w:w="2340" w:type="dxa"/>
            <w:vMerge w:val="restart"/>
            <w:tcBorders>
              <w:top w:val="single" w:sz="4" w:space="0" w:color="auto"/>
              <w:left w:val="single" w:sz="4" w:space="0" w:color="auto"/>
              <w:bottom w:val="single" w:sz="4" w:space="0" w:color="auto"/>
              <w:right w:val="single" w:sz="4" w:space="0" w:color="auto"/>
            </w:tcBorders>
            <w:vAlign w:val="center"/>
          </w:tcPr>
          <w:p w14:paraId="57BB3A54" w14:textId="77777777" w:rsidR="00492105" w:rsidRPr="00892FF4" w:rsidRDefault="00492105" w:rsidP="00CC5D8D">
            <w:pPr>
              <w:keepNext/>
              <w:spacing w:after="0" w:line="240" w:lineRule="auto"/>
              <w:jc w:val="center"/>
              <w:rPr>
                <w:rFonts w:ascii="Calibri" w:eastAsia="Times New Roman" w:hAnsi="Calibri" w:cs="Calibri"/>
                <w:color w:val="000000"/>
                <w:lang w:val="en-GB" w:eastAsia="en-GB"/>
              </w:rPr>
            </w:pPr>
            <w:r>
              <w:drawing>
                <wp:inline distT="0" distB="0" distL="0" distR="0">
                  <wp:extent cx="944879" cy="566928"/>
                  <wp:effectExtent l="0" t="0" r="0" b="0"/>
                  <wp:docPr id="900106" name="Imza Fatih Salba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106" name="Imza Fatih Salbars"/>
                          <pic:cNvPicPr/>
                        </pic:nvPicPr>
                        <pic:blipFill>
                          <a:blip r:embed="sigFatih"/>
                          <a:stretch>
                            <a:fillRect/>
                          </a:stretch>
                        </pic:blipFill>
                        <pic:spPr>
                          <a:xfrm>
                            <a:off x="0" y="0"/>
                            <a:ext cx="944879" cy="566928"/>
                          </a:xfrm>
                          <a:prstGeom prst="rect">
                            <a:avLst/>
                          </a:prstGeom>
                        </pic:spPr>
                      </pic:pic>
                    </a:graphicData>
                  </a:graphic>
                </wp:inline>
              </w:drawing>
            </w:r>
          </w:p>
        </w:tc>
      </w:tr>
      <w:tr w:rsidR="00492105" w:rsidRPr="00892FF4" w14:paraId="2F4E587E" w14:textId="77777777" w:rsidTr="00CC5D8D">
        <w:trPr>
          <w:cantSplit/>
          <w:trHeight w:val="288"/>
        </w:trPr>
        <w:tc>
          <w:tcPr>
            <w:tcW w:w="2340" w:type="dxa"/>
            <w:vMerge/>
            <w:tcBorders>
              <w:left w:val="single" w:sz="4" w:space="0" w:color="auto"/>
              <w:right w:val="single" w:sz="4" w:space="0" w:color="auto"/>
            </w:tcBorders>
            <w:vAlign w:val="center"/>
          </w:tcPr>
          <w:p w14:paraId="1E5A113F" w14:textId="77777777" w:rsidR="00492105" w:rsidRPr="00892FF4" w:rsidRDefault="00492105" w:rsidP="00CC5D8D">
            <w:pPr>
              <w:keepNext/>
              <w:spacing w:after="0" w:line="240" w:lineRule="auto"/>
              <w:rPr>
                <w:rFonts w:ascii="Calibri" w:eastAsia="Times New Roman" w:hAnsi="Calibri" w:cs="Calibri"/>
                <w:color w:val="000000"/>
                <w:lang w:val="en-GB" w:eastAsia="en-GB"/>
              </w:rPr>
            </w:pPr>
          </w:p>
        </w:tc>
        <w:tc>
          <w:tcPr>
            <w:tcW w:w="240" w:type="dxa"/>
            <w:tcBorders>
              <w:top w:val="nil"/>
              <w:left w:val="single" w:sz="4" w:space="0" w:color="auto"/>
              <w:bottom w:val="nil"/>
              <w:right w:val="single" w:sz="4" w:space="0" w:color="auto"/>
            </w:tcBorders>
            <w:noWrap/>
            <w:vAlign w:val="bottom"/>
          </w:tcPr>
          <w:p w14:paraId="00546466" w14:textId="77777777" w:rsidR="00492105" w:rsidRPr="00892FF4" w:rsidRDefault="00492105" w:rsidP="00CC5D8D">
            <w:pPr>
              <w:keepNext/>
              <w:spacing w:after="0" w:line="240" w:lineRule="auto"/>
              <w:jc w:val="center"/>
              <w:rPr>
                <w:rFonts w:ascii="Calibri" w:eastAsia="Times New Roman" w:hAnsi="Calibri" w:cs="Calibri"/>
                <w:color w:val="000000"/>
                <w:lang w:val="en-GB" w:eastAsia="en-GB"/>
              </w:rPr>
            </w:pPr>
          </w:p>
        </w:tc>
        <w:tc>
          <w:tcPr>
            <w:tcW w:w="2340" w:type="dxa"/>
            <w:vMerge/>
            <w:tcBorders>
              <w:top w:val="nil"/>
              <w:left w:val="single" w:sz="4" w:space="0" w:color="auto"/>
              <w:bottom w:val="nil"/>
              <w:right w:val="single" w:sz="4" w:space="0" w:color="auto"/>
            </w:tcBorders>
            <w:vAlign w:val="center"/>
          </w:tcPr>
          <w:p w14:paraId="409C4D9C" w14:textId="77777777" w:rsidR="00492105" w:rsidRPr="00892FF4" w:rsidRDefault="00492105" w:rsidP="00CC5D8D">
            <w:pPr>
              <w:keepNext/>
              <w:spacing w:after="0" w:line="240" w:lineRule="auto"/>
              <w:rPr>
                <w:rFonts w:ascii="Calibri" w:eastAsia="Times New Roman" w:hAnsi="Calibri" w:cs="Calibri"/>
                <w:color w:val="000000"/>
                <w:lang w:val="en-GB" w:eastAsia="en-GB"/>
              </w:rPr>
            </w:pPr>
          </w:p>
        </w:tc>
        <w:tc>
          <w:tcPr>
            <w:tcW w:w="240" w:type="dxa"/>
            <w:tcBorders>
              <w:top w:val="nil"/>
              <w:left w:val="single" w:sz="4" w:space="0" w:color="auto"/>
              <w:bottom w:val="nil"/>
              <w:right w:val="single" w:sz="4" w:space="0" w:color="auto"/>
            </w:tcBorders>
            <w:noWrap/>
            <w:vAlign w:val="bottom"/>
          </w:tcPr>
          <w:p w14:paraId="475A2820" w14:textId="77777777" w:rsidR="00492105" w:rsidRPr="00892FF4" w:rsidRDefault="00492105" w:rsidP="00CC5D8D">
            <w:pPr>
              <w:keepNext/>
              <w:spacing w:after="0" w:line="240" w:lineRule="auto"/>
              <w:rPr>
                <w:rFonts w:ascii="Times New Roman" w:eastAsia="Times New Roman" w:hAnsi="Times New Roman" w:cs="Times New Roman"/>
                <w:sz w:val="20"/>
                <w:szCs w:val="20"/>
                <w:lang w:val="en-GB" w:eastAsia="en-GB"/>
              </w:rPr>
            </w:pPr>
          </w:p>
        </w:tc>
        <w:tc>
          <w:tcPr>
            <w:tcW w:w="2340" w:type="dxa"/>
            <w:vMerge/>
            <w:tcBorders>
              <w:top w:val="nil"/>
              <w:left w:val="single" w:sz="4" w:space="0" w:color="auto"/>
              <w:bottom w:val="nil"/>
              <w:right w:val="single" w:sz="4" w:space="0" w:color="auto"/>
            </w:tcBorders>
            <w:vAlign w:val="center"/>
          </w:tcPr>
          <w:p w14:paraId="68C21C4E" w14:textId="77777777" w:rsidR="00492105" w:rsidRPr="00892FF4" w:rsidRDefault="00492105" w:rsidP="00CC5D8D">
            <w:pPr>
              <w:keepNext/>
              <w:spacing w:after="0" w:line="240" w:lineRule="auto"/>
              <w:rPr>
                <w:rFonts w:ascii="Calibri" w:eastAsia="Times New Roman" w:hAnsi="Calibri" w:cs="Calibri"/>
                <w:color w:val="000000"/>
                <w:lang w:val="en-GB" w:eastAsia="en-GB"/>
              </w:rPr>
            </w:pPr>
          </w:p>
        </w:tc>
        <w:tc>
          <w:tcPr>
            <w:tcW w:w="240" w:type="dxa"/>
            <w:tcBorders>
              <w:top w:val="nil"/>
              <w:left w:val="single" w:sz="4" w:space="0" w:color="auto"/>
              <w:bottom w:val="nil"/>
              <w:right w:val="single" w:sz="4" w:space="0" w:color="auto"/>
            </w:tcBorders>
            <w:noWrap/>
            <w:vAlign w:val="bottom"/>
          </w:tcPr>
          <w:p w14:paraId="79C4BD84" w14:textId="77777777" w:rsidR="00492105" w:rsidRPr="00892FF4" w:rsidRDefault="00492105" w:rsidP="00CC5D8D">
            <w:pPr>
              <w:keepNext/>
              <w:spacing w:after="0" w:line="240" w:lineRule="auto"/>
              <w:rPr>
                <w:rFonts w:ascii="Times New Roman" w:eastAsia="Times New Roman" w:hAnsi="Times New Roman" w:cs="Times New Roman"/>
                <w:sz w:val="20"/>
                <w:szCs w:val="20"/>
                <w:lang w:val="en-GB" w:eastAsia="en-GB"/>
              </w:rPr>
            </w:pPr>
          </w:p>
        </w:tc>
        <w:tc>
          <w:tcPr>
            <w:tcW w:w="2340" w:type="dxa"/>
            <w:vMerge/>
            <w:tcBorders>
              <w:top w:val="nil"/>
              <w:left w:val="single" w:sz="4" w:space="0" w:color="auto"/>
              <w:bottom w:val="nil"/>
              <w:right w:val="single" w:sz="4" w:space="0" w:color="auto"/>
            </w:tcBorders>
            <w:vAlign w:val="center"/>
          </w:tcPr>
          <w:p w14:paraId="0BA76159" w14:textId="77777777" w:rsidR="00492105" w:rsidRPr="00892FF4" w:rsidRDefault="00492105" w:rsidP="00CC5D8D">
            <w:pPr>
              <w:keepNext/>
              <w:spacing w:after="0" w:line="240" w:lineRule="auto"/>
              <w:rPr>
                <w:rFonts w:ascii="Calibri" w:eastAsia="Times New Roman" w:hAnsi="Calibri" w:cs="Calibri"/>
                <w:color w:val="000000"/>
                <w:lang w:val="en-GB" w:eastAsia="en-GB"/>
              </w:rPr>
            </w:pPr>
          </w:p>
        </w:tc>
      </w:tr>
      <w:tr w:rsidR="00492105" w:rsidRPr="00892FF4" w14:paraId="27051B4E" w14:textId="77777777" w:rsidTr="00CC5D8D">
        <w:trPr>
          <w:cantSplit/>
          <w:trHeight w:val="288"/>
        </w:trPr>
        <w:tc>
          <w:tcPr>
            <w:tcW w:w="2340" w:type="dxa"/>
            <w:vMerge/>
            <w:tcBorders>
              <w:left w:val="single" w:sz="4" w:space="0" w:color="auto"/>
              <w:bottom w:val="single" w:sz="4" w:space="0" w:color="auto"/>
              <w:right w:val="single" w:sz="4" w:space="0" w:color="auto"/>
            </w:tcBorders>
            <w:vAlign w:val="center"/>
          </w:tcPr>
          <w:p w14:paraId="6BA5A659" w14:textId="77777777" w:rsidR="00492105" w:rsidRPr="00892FF4" w:rsidRDefault="00492105" w:rsidP="00CC5D8D">
            <w:pPr>
              <w:keepNext/>
              <w:spacing w:after="0" w:line="240" w:lineRule="auto"/>
              <w:rPr>
                <w:rFonts w:ascii="Calibri" w:eastAsia="Times New Roman" w:hAnsi="Calibri" w:cs="Calibri"/>
                <w:color w:val="000000"/>
                <w:lang w:val="en-GB" w:eastAsia="en-GB"/>
              </w:rPr>
            </w:pPr>
          </w:p>
        </w:tc>
        <w:tc>
          <w:tcPr>
            <w:tcW w:w="240" w:type="dxa"/>
            <w:tcBorders>
              <w:top w:val="nil"/>
              <w:left w:val="single" w:sz="4" w:space="0" w:color="auto"/>
              <w:bottom w:val="nil"/>
              <w:right w:val="single" w:sz="4" w:space="0" w:color="auto"/>
            </w:tcBorders>
            <w:noWrap/>
            <w:vAlign w:val="bottom"/>
          </w:tcPr>
          <w:p w14:paraId="4CEB9699" w14:textId="77777777" w:rsidR="00492105" w:rsidRPr="00892FF4" w:rsidRDefault="00492105" w:rsidP="00CC5D8D">
            <w:pPr>
              <w:keepNext/>
              <w:spacing w:after="0" w:line="240" w:lineRule="auto"/>
              <w:rPr>
                <w:rFonts w:ascii="Times New Roman" w:eastAsia="Times New Roman" w:hAnsi="Times New Roman" w:cs="Times New Roman"/>
                <w:sz w:val="20"/>
                <w:szCs w:val="20"/>
                <w:lang w:val="en-GB" w:eastAsia="en-GB"/>
              </w:rPr>
            </w:pPr>
          </w:p>
        </w:tc>
        <w:tc>
          <w:tcPr>
            <w:tcW w:w="2340" w:type="dxa"/>
            <w:vMerge/>
            <w:tcBorders>
              <w:top w:val="nil"/>
              <w:left w:val="single" w:sz="4" w:space="0" w:color="auto"/>
              <w:bottom w:val="single" w:sz="4" w:space="0" w:color="auto"/>
              <w:right w:val="single" w:sz="4" w:space="0" w:color="auto"/>
            </w:tcBorders>
            <w:vAlign w:val="center"/>
          </w:tcPr>
          <w:p w14:paraId="04FD4593" w14:textId="77777777" w:rsidR="00492105" w:rsidRPr="00892FF4" w:rsidRDefault="00492105" w:rsidP="00CC5D8D">
            <w:pPr>
              <w:keepNext/>
              <w:spacing w:after="0" w:line="240" w:lineRule="auto"/>
              <w:rPr>
                <w:rFonts w:ascii="Calibri" w:eastAsia="Times New Roman" w:hAnsi="Calibri" w:cs="Calibri"/>
                <w:color w:val="000000"/>
                <w:lang w:val="en-GB" w:eastAsia="en-GB"/>
              </w:rPr>
            </w:pPr>
          </w:p>
        </w:tc>
        <w:tc>
          <w:tcPr>
            <w:tcW w:w="240" w:type="dxa"/>
            <w:tcBorders>
              <w:top w:val="nil"/>
              <w:left w:val="single" w:sz="4" w:space="0" w:color="auto"/>
              <w:bottom w:val="nil"/>
              <w:right w:val="single" w:sz="4" w:space="0" w:color="auto"/>
            </w:tcBorders>
            <w:noWrap/>
            <w:vAlign w:val="bottom"/>
          </w:tcPr>
          <w:p w14:paraId="0362D1A7" w14:textId="77777777" w:rsidR="00492105" w:rsidRPr="00892FF4" w:rsidRDefault="00492105" w:rsidP="00CC5D8D">
            <w:pPr>
              <w:keepNext/>
              <w:spacing w:after="0" w:line="240" w:lineRule="auto"/>
              <w:rPr>
                <w:rFonts w:ascii="Times New Roman" w:eastAsia="Times New Roman" w:hAnsi="Times New Roman" w:cs="Times New Roman"/>
                <w:sz w:val="20"/>
                <w:szCs w:val="20"/>
                <w:lang w:val="en-GB" w:eastAsia="en-GB"/>
              </w:rPr>
            </w:pPr>
          </w:p>
        </w:tc>
        <w:tc>
          <w:tcPr>
            <w:tcW w:w="2340" w:type="dxa"/>
            <w:vMerge/>
            <w:tcBorders>
              <w:top w:val="nil"/>
              <w:left w:val="single" w:sz="4" w:space="0" w:color="auto"/>
              <w:bottom w:val="single" w:sz="4" w:space="0" w:color="auto"/>
              <w:right w:val="single" w:sz="4" w:space="0" w:color="auto"/>
            </w:tcBorders>
            <w:vAlign w:val="center"/>
          </w:tcPr>
          <w:p w14:paraId="01119E75" w14:textId="77777777" w:rsidR="00492105" w:rsidRPr="00892FF4" w:rsidRDefault="00492105" w:rsidP="00CC5D8D">
            <w:pPr>
              <w:keepNext/>
              <w:spacing w:after="0" w:line="240" w:lineRule="auto"/>
              <w:rPr>
                <w:rFonts w:ascii="Calibri" w:eastAsia="Times New Roman" w:hAnsi="Calibri" w:cs="Calibri"/>
                <w:color w:val="000000"/>
                <w:lang w:val="en-GB" w:eastAsia="en-GB"/>
              </w:rPr>
            </w:pPr>
          </w:p>
        </w:tc>
        <w:tc>
          <w:tcPr>
            <w:tcW w:w="240" w:type="dxa"/>
            <w:tcBorders>
              <w:top w:val="nil"/>
              <w:left w:val="single" w:sz="4" w:space="0" w:color="auto"/>
              <w:bottom w:val="nil"/>
              <w:right w:val="single" w:sz="4" w:space="0" w:color="auto"/>
            </w:tcBorders>
            <w:noWrap/>
            <w:vAlign w:val="bottom"/>
          </w:tcPr>
          <w:p w14:paraId="1BF8971E" w14:textId="77777777" w:rsidR="00492105" w:rsidRPr="00892FF4" w:rsidRDefault="00492105" w:rsidP="00CC5D8D">
            <w:pPr>
              <w:keepNext/>
              <w:spacing w:after="0" w:line="240" w:lineRule="auto"/>
              <w:rPr>
                <w:rFonts w:ascii="Times New Roman" w:eastAsia="Times New Roman" w:hAnsi="Times New Roman" w:cs="Times New Roman"/>
                <w:sz w:val="20"/>
                <w:szCs w:val="20"/>
                <w:lang w:val="en-GB" w:eastAsia="en-GB"/>
              </w:rPr>
            </w:pPr>
          </w:p>
        </w:tc>
        <w:tc>
          <w:tcPr>
            <w:tcW w:w="2340" w:type="dxa"/>
            <w:vMerge/>
            <w:tcBorders>
              <w:top w:val="nil"/>
              <w:left w:val="single" w:sz="4" w:space="0" w:color="auto"/>
              <w:bottom w:val="single" w:sz="4" w:space="0" w:color="auto"/>
              <w:right w:val="single" w:sz="4" w:space="0" w:color="auto"/>
            </w:tcBorders>
            <w:vAlign w:val="center"/>
          </w:tcPr>
          <w:p w14:paraId="2ACA1E9C" w14:textId="77777777" w:rsidR="00492105" w:rsidRPr="00892FF4" w:rsidRDefault="00492105" w:rsidP="00CC5D8D">
            <w:pPr>
              <w:keepNext/>
              <w:spacing w:after="0" w:line="240" w:lineRule="auto"/>
              <w:rPr>
                <w:rFonts w:ascii="Calibri" w:eastAsia="Times New Roman" w:hAnsi="Calibri" w:cs="Calibri"/>
                <w:color w:val="000000"/>
                <w:lang w:val="en-GB" w:eastAsia="en-GB"/>
              </w:rPr>
            </w:pPr>
          </w:p>
        </w:tc>
      </w:tr>
    </w:tbl>
    <w:p>
      <w:pPr>
        <w:pStyle w:val="ListeParagraf"/>
        <w:spacing w:before="160" w:after="0"/>
        <w:ind w:left="709"/>
      </w:pPr>
      <w:r>
        <w:rPr>
          <w:rFonts w:ascii="Calibri" w:hAnsi="Calibri" w:cs="Calibri"/>
          <w:b/>
          <w:bCs/>
          <w:sz w:val="20"/>
          <w:szCs w:val="20"/>
        </w:rPr>
        <w:t xml:space="preserve">Hazırlayan: Kalite Güvence Müdürü  ..........................    Kalite Müdürü: ..........................</w:t>
      </w:r>
    </w:p>
    <w:p>
      <w:pPr>
        <w:spacing w:before="0" w:after="0" w:line="20" w:lineRule="exact"/>
        <w:rPr>
          <w:vanish/>
          <w:sz w:val="2"/>
          <w:szCs w:val="2"/>
        </w:rPr>
      </w:pPr>
    </w:p>
    <w:sectPr w:rsidR="00B77A69" w:rsidRPr="00906E62" w:rsidSect="00161FE6">
      <w:headerReference w:type="even" r:id="rId10"/>
      <w:headerReference w:type="default" r:id="rId11"/>
      <w:footerReference w:type="even" r:id="rId12"/>
      <w:footerReference w:type="default" r:id="rId13"/>
      <w:headerReference w:type="first" r:id="rId14"/>
      <w:footerReference w:type="first" r:id="rId15"/>
      <w:type w:val="continuous"/>
      <w:pgSz w:w="11906" w:h="16838"/>
      <w:pgMar w:top="1135" w:right="849" w:bottom="709" w:left="284" w:header="708" w:footer="708" w:gutter="0"/>
      <w:pgNumType w:chapStyle="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24EDE31" w14:textId="77777777" w:rsidR="00484107" w:rsidRDefault="00484107" w:rsidP="0024179D">
      <w:pPr>
        <w:spacing w:after="0" w:line="240" w:lineRule="auto"/>
      </w:pPr>
      <w:r>
        <w:separator/>
      </w:r>
    </w:p>
  </w:endnote>
  <w:endnote w:type="continuationSeparator" w:id="0">
    <w:p w14:paraId="28748FB7" w14:textId="77777777" w:rsidR="00484107" w:rsidRDefault="00484107" w:rsidP="0024179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Narrow">
    <w:panose1 w:val="020B0606020202030204"/>
    <w:charset w:val="A2"/>
    <w:family w:val="swiss"/>
    <w:pitch w:val="variable"/>
    <w:sig w:usb0="00000287" w:usb1="000008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3393CD" w14:textId="77777777" w:rsidR="00CB5D69" w:rsidRDefault="00CB5D69">
    <w:pPr>
      <w:pStyle w:val="AltBilgi"/>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19389793"/>
      <w:docPartObj>
        <w:docPartGallery w:val="Page Numbers (Bottom of Page)"/>
        <w:docPartUnique/>
      </w:docPartObj>
    </w:sdtPr>
    <w:sdtContent>
      <w:p w14:paraId="543A3963" w14:textId="77777777" w:rsidR="003B4BB2" w:rsidRDefault="003B4BB2">
        <w:pPr>
          <w:pStyle w:val="AltBilgi"/>
          <w:jc w:val="center"/>
        </w:pPr>
        <w:r>
          <w:fldChar w:fldCharType="begin"/>
        </w:r>
        <w:r>
          <w:instrText>PAGE   \* MERGEFORMAT</w:instrText>
        </w:r>
        <w:r>
          <w:fldChar w:fldCharType="separate"/>
        </w:r>
        <w:r w:rsidR="00C55514">
          <w:rPr>
            <w:noProof/>
          </w:rPr>
          <w:t>3</w:t>
        </w:r>
        <w:r>
          <w:fldChar w:fldCharType="end"/>
        </w:r>
      </w:p>
    </w:sdtContent>
  </w:sdt>
  <w:p w14:paraId="58B85E36" w14:textId="77777777" w:rsidR="003B4BB2" w:rsidRDefault="003B4BB2">
    <w:pPr>
      <w:pStyle w:val="AltBilgi"/>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E95764" w14:textId="77777777" w:rsidR="00CB5D69" w:rsidRDefault="00CB5D69">
    <w:pPr>
      <w:pStyle w:val="AltBilgi"/>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E503652" w14:textId="77777777" w:rsidR="00484107" w:rsidRDefault="00484107" w:rsidP="0024179D">
      <w:pPr>
        <w:spacing w:after="0" w:line="240" w:lineRule="auto"/>
      </w:pPr>
      <w:r>
        <w:separator/>
      </w:r>
    </w:p>
  </w:footnote>
  <w:footnote w:type="continuationSeparator" w:id="0">
    <w:p w14:paraId="5F8FF55E" w14:textId="77777777" w:rsidR="00484107" w:rsidRDefault="00484107" w:rsidP="0024179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tag w:val="GTBClassification"/>
      <w:id w:val="-1456783363"/>
      <w:lock w:val="sdtContentLocked"/>
      <w:placeholder>
        <w:docPart w:val="DefaultPlaceholder_-1854013440"/>
      </w:placeholder>
    </w:sdtPr>
    <w:sdtContent>
      <w:p w14:paraId="5F0F1B70" w14:textId="4B62F663" w:rsidR="00DA36D2" w:rsidRDefault="00091703" w:rsidP="00091703">
        <w:pPr>
          <w:pStyle w:val="stBilgi"/>
        </w:pPr>
        <w:r w:rsidRPr="00091703">
          <w:rPr>
            <w:rFonts w:ascii="Arial" w:hAnsi="Arial" w:cs="Arial"/>
            <w:b/>
            <w:color w:val="000000"/>
            <w:sz w:val="16"/>
          </w:rPr>
          <w:t>Classification:</w:t>
        </w:r>
        <w:r w:rsidRPr="00091703">
          <w:rPr>
            <w:rFonts w:ascii="Arial" w:hAnsi="Arial" w:cs="Arial"/>
            <w:color w:val="000000"/>
            <w:sz w:val="16"/>
          </w:rPr>
          <w:t xml:space="preserve"> </w:t>
        </w:r>
        <w:r w:rsidRPr="00091703">
          <w:rPr>
            <w:rFonts w:ascii="Arial" w:hAnsi="Arial" w:cs="Arial"/>
            <w:b/>
            <w:color w:val="FF0000"/>
            <w:sz w:val="16"/>
          </w:rPr>
          <w:t>Secret\Gizli</w:t>
        </w:r>
      </w:p>
    </w:sdtContent>
  </w:sdt>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oKlavuzu"/>
      <w:tblW w:w="10276" w:type="dxa"/>
      <w:tblInd w:w="634" w:type="dxa"/>
      <w:tblBorders>
        <w:top w:val="single" w:sz="4" w:space="0" w:color="ACB9CA" w:themeColor="text2" w:themeTint="66"/>
        <w:left w:val="none" w:sz="0" w:space="0" w:color="auto"/>
        <w:bottom w:val="single" w:sz="4" w:space="0" w:color="ACB9CA" w:themeColor="text2" w:themeTint="66"/>
        <w:right w:val="single" w:sz="4" w:space="0" w:color="ACB9CA" w:themeColor="text2" w:themeTint="66"/>
        <w:insideH w:val="single" w:sz="4" w:space="0" w:color="ACB9CA" w:themeColor="text2" w:themeTint="66"/>
        <w:insideV w:val="single" w:sz="4" w:space="0" w:color="ACB9CA" w:themeColor="text2" w:themeTint="66"/>
      </w:tblBorders>
      <w:tblLook w:val="04A0" w:firstRow="1" w:lastRow="0" w:firstColumn="1" w:lastColumn="0" w:noHBand="0" w:noVBand="1"/>
    </w:tblPr>
    <w:tblGrid>
      <w:gridCol w:w="2519"/>
      <w:gridCol w:w="4728"/>
      <w:gridCol w:w="1320"/>
      <w:gridCol w:w="1709"/>
    </w:tblGrid>
    <w:tr w:rsidR="00B524A9" w14:paraId="3FC2F665" w14:textId="77777777" w:rsidTr="005B3758">
      <w:trPr>
        <w:trHeight w:val="1039"/>
      </w:trPr>
      <w:tc>
        <w:tcPr>
          <w:tcW w:w="2519" w:type="dxa"/>
          <w:tcBorders>
            <w:top w:val="single" w:sz="4" w:space="0" w:color="auto"/>
            <w:left w:val="single" w:sz="4" w:space="0" w:color="auto"/>
            <w:bottom w:val="single" w:sz="4" w:space="0" w:color="auto"/>
            <w:right w:val="single" w:sz="4" w:space="0" w:color="auto"/>
          </w:tcBorders>
        </w:tcPr>
        <w:p w14:paraId="35A8CA0A" w14:textId="0FF2BCF6" w:rsidR="00CC34D1" w:rsidRDefault="000A3ACB" w:rsidP="000A3ACB">
          <w:pPr>
            <w:pStyle w:val="stBilgi"/>
            <w:tabs>
              <w:tab w:val="clear" w:pos="4536"/>
              <w:tab w:val="clear" w:pos="9072"/>
              <w:tab w:val="right" w:pos="2302"/>
            </w:tabs>
            <w:jc w:val="center"/>
          </w:pPr>
          <w:r>
            <w:rPr>
              <w:rFonts w:ascii="Calibri" w:hAnsi="Calibri" w:cs="Calibri"/>
              <w:b/>
              <w:bCs/>
              <w:noProof/>
              <w:sz w:val="24"/>
              <w:szCs w:val="24"/>
            </w:rPr>
            <w:drawing>
              <wp:inline distT="0" distB="0" distL="0" distR="0" wp14:anchorId="151A8098" wp14:editId="34C3FA3F">
                <wp:extent cx="723900" cy="631163"/>
                <wp:effectExtent l="0" t="0" r="0" b="0"/>
                <wp:docPr id="3806467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rotWithShape="1">
                        <a:blip r:embed="rId1">
                          <a:extLst>
                            <a:ext uri="{28A0092B-C50C-407E-A947-70E740481C1C}">
                              <a14:useLocalDpi xmlns:a14="http://schemas.microsoft.com/office/drawing/2010/main" val="0"/>
                            </a:ext>
                          </a:extLst>
                        </a:blip>
                        <a:srcRect l="31110" r="33129"/>
                        <a:stretch>
                          <a:fillRect/>
                        </a:stretch>
                      </pic:blipFill>
                      <pic:spPr bwMode="auto">
                        <a:xfrm>
                          <a:off x="0" y="0"/>
                          <a:ext cx="750578" cy="654423"/>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4728"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pPr>
            <w:pStyle w:val="GvdeMetni2"/>
            <w:spacing w:line="276" w:lineRule="auto"/>
            <w:jc w:val="center"/>
          </w:pPr>
          <w:r>
            <w:rPr>
              <w:rFonts w:asciiTheme="minorHAnsi" w:hAnsiTheme="minorHAnsi" w:cs="Arial"/>
              <w:b/>
              <w:bCs/>
              <w:color w:val="000000" w:themeColor="text1"/>
              <w:sz w:val="22"/>
              <w:szCs w:val="22"/>
            </w:rPr>
            <w:t>RISKS AND OPPORTUNITIES PROCEDURE</w:t>
          </w:r>
        </w:p>
        <w:p>
          <w:pPr>
            <w:pStyle w:val="GvdeMetni2"/>
            <w:bidi/>
            <w:spacing w:line="276" w:lineRule="auto"/>
            <w:jc w:val="center"/>
          </w:pPr>
          <w:r>
            <w:rPr>
              <w:rFonts w:asciiTheme="minorHAnsi" w:hAnsiTheme="minorHAnsi" w:cs="Arial"/>
              <w:b/>
              <w:bCs/>
              <w:color w:val="000000" w:themeColor="text1"/>
              <w:sz w:val="22"/>
              <w:szCs w:val="22"/>
              <w:rtl/>
            </w:rPr>
            <w:t>إجراء المخاطر والفرص</w:t>
          </w:r>
        </w:p>
      </w:tc>
      <w:tc>
        <w:tcPr>
          <w:tcW w:w="1320" w:type="dxa"/>
          <w:tcBorders>
            <w:top w:val="single" w:sz="4" w:space="0" w:color="auto"/>
            <w:left w:val="single" w:sz="4" w:space="0" w:color="auto"/>
            <w:bottom w:val="single" w:sz="4" w:space="0" w:color="auto"/>
            <w:right w:val="nil"/>
          </w:tcBorders>
        </w:tcPr>
        <w:p w14:paraId="011D91B5" w14:textId="77777777" w:rsidR="00CC34D1" w:rsidRPr="00E34206" w:rsidRDefault="00CC34D1" w:rsidP="00CC34D1">
          <w:pPr>
            <w:spacing w:before="120" w:line="120" w:lineRule="atLeast"/>
            <w:rPr>
              <w:rFonts w:cstheme="minorHAnsi"/>
              <w:sz w:val="16"/>
              <w:szCs w:val="16"/>
            </w:rPr>
          </w:pPr>
          <w:r w:rsidRPr="00E34206">
            <w:rPr>
              <w:rFonts w:cstheme="minorHAnsi"/>
              <w:sz w:val="16"/>
              <w:szCs w:val="16"/>
            </w:rPr>
            <w:t xml:space="preserve">Belge No           :    </w:t>
          </w:r>
        </w:p>
        <w:p w14:paraId="666B83AD" w14:textId="77777777" w:rsidR="00CC34D1" w:rsidRPr="00E34206" w:rsidRDefault="00CC34D1" w:rsidP="00CC34D1">
          <w:pPr>
            <w:spacing w:line="120" w:lineRule="atLeast"/>
            <w:ind w:left="709" w:right="-469" w:hanging="709"/>
            <w:rPr>
              <w:rFonts w:cstheme="minorHAnsi"/>
              <w:sz w:val="16"/>
              <w:szCs w:val="16"/>
            </w:rPr>
          </w:pPr>
          <w:r w:rsidRPr="00E34206">
            <w:rPr>
              <w:rFonts w:cstheme="minorHAnsi"/>
              <w:sz w:val="16"/>
              <w:szCs w:val="16"/>
            </w:rPr>
            <w:t xml:space="preserve">Onay Tarihi   </w:t>
          </w:r>
          <w:r w:rsidRPr="00E34206">
            <w:rPr>
              <w:rFonts w:cstheme="minorHAnsi"/>
              <w:sz w:val="12"/>
              <w:szCs w:val="12"/>
            </w:rPr>
            <w:t xml:space="preserve">  </w:t>
          </w:r>
          <w:r w:rsidRPr="00E34206">
            <w:rPr>
              <w:rFonts w:cstheme="minorHAnsi"/>
              <w:sz w:val="16"/>
              <w:szCs w:val="16"/>
            </w:rPr>
            <w:t xml:space="preserve">  :</w:t>
          </w:r>
          <w:r w:rsidRPr="00E34206">
            <w:rPr>
              <w:rFonts w:cstheme="minorHAnsi"/>
              <w:sz w:val="16"/>
              <w:szCs w:val="16"/>
            </w:rPr>
            <w:tab/>
          </w:r>
        </w:p>
        <w:p w14:paraId="45A76328" w14:textId="77777777" w:rsidR="00CC34D1" w:rsidRPr="00E34206" w:rsidRDefault="00CC34D1" w:rsidP="00CC34D1">
          <w:pPr>
            <w:spacing w:line="120" w:lineRule="atLeast"/>
            <w:rPr>
              <w:rFonts w:cstheme="minorHAnsi"/>
              <w:sz w:val="16"/>
              <w:szCs w:val="16"/>
            </w:rPr>
          </w:pPr>
          <w:r w:rsidRPr="00E34206">
            <w:rPr>
              <w:rFonts w:cstheme="minorHAnsi"/>
              <w:sz w:val="16"/>
              <w:szCs w:val="16"/>
            </w:rPr>
            <w:t xml:space="preserve">Revizyon No     :       </w:t>
          </w:r>
        </w:p>
        <w:p w14:paraId="4193DCA2" w14:textId="77777777" w:rsidR="00CC34D1" w:rsidRPr="00E34206" w:rsidRDefault="00CC34D1" w:rsidP="00CC34D1">
          <w:pPr>
            <w:spacing w:line="120" w:lineRule="atLeast"/>
            <w:rPr>
              <w:rFonts w:cstheme="minorHAnsi"/>
              <w:sz w:val="16"/>
              <w:szCs w:val="16"/>
            </w:rPr>
          </w:pPr>
          <w:r w:rsidRPr="00E34206">
            <w:rPr>
              <w:rFonts w:cstheme="minorHAnsi"/>
              <w:sz w:val="16"/>
              <w:szCs w:val="16"/>
            </w:rPr>
            <w:t xml:space="preserve">Revizyon Tarihi:       </w:t>
          </w:r>
        </w:p>
      </w:tc>
      <w:tc>
        <w:tcPr>
          <w:tcW w:w="1709" w:type="dxa"/>
          <w:tcBorders>
            <w:top w:val="single" w:sz="4" w:space="0" w:color="auto"/>
            <w:left w:val="nil"/>
            <w:bottom w:val="single" w:sz="4" w:space="0" w:color="auto"/>
            <w:right w:val="single" w:sz="4" w:space="0" w:color="auto"/>
          </w:tcBorders>
        </w:tcPr>
        <w:p w14:paraId="60840A4B" w14:textId="4CC84DE1" w:rsidR="00CC34D1" w:rsidRPr="00E34206" w:rsidRDefault="00EA160E" w:rsidP="005B3758">
          <w:pPr>
            <w:spacing w:before="120" w:line="120" w:lineRule="atLeast"/>
            <w:ind w:left="-86"/>
            <w:rPr>
              <w:rFonts w:cstheme="minorHAnsi"/>
              <w:sz w:val="16"/>
              <w:szCs w:val="16"/>
            </w:rPr>
          </w:pPr>
          <w:r>
            <w:rPr>
              <w:rFonts w:cstheme="minorHAnsi"/>
              <w:sz w:val="16"/>
              <w:szCs w:val="16"/>
            </w:rPr>
            <w:t>EMS.YS.PRO.11.04.</w:t>
          </w:r>
        </w:p>
        <w:p w14:paraId="448BB81C" w14:textId="2E4404FA" w:rsidR="00CC34D1" w:rsidRPr="00E34206" w:rsidRDefault="007F210F" w:rsidP="005B3758">
          <w:pPr>
            <w:spacing w:line="120" w:lineRule="atLeast"/>
            <w:ind w:left="-86"/>
            <w:rPr>
              <w:rFonts w:cstheme="minorHAnsi"/>
              <w:sz w:val="16"/>
              <w:szCs w:val="16"/>
            </w:rPr>
          </w:pPr>
          <w:r>
            <w:rPr>
              <w:rFonts w:cstheme="minorHAnsi"/>
              <w:sz w:val="16"/>
              <w:szCs w:val="16"/>
            </w:rPr>
            <w:t>0</w:t>
          </w:r>
          <w:r w:rsidR="00EA160E">
            <w:rPr>
              <w:rFonts w:cstheme="minorHAnsi"/>
              <w:sz w:val="16"/>
              <w:szCs w:val="16"/>
            </w:rPr>
            <w:t>2.10.2026</w:t>
          </w:r>
        </w:p>
        <w:p w14:paraId="3F22F458" w14:textId="2860EC0B" w:rsidR="00CC34D1" w:rsidRPr="00E34206" w:rsidRDefault="00CC34D1" w:rsidP="005B3758">
          <w:pPr>
            <w:spacing w:line="120" w:lineRule="atLeast"/>
            <w:ind w:left="-86"/>
            <w:rPr>
              <w:rFonts w:cstheme="minorHAnsi"/>
              <w:sz w:val="16"/>
              <w:szCs w:val="16"/>
            </w:rPr>
          </w:pPr>
          <w:r w:rsidRPr="00E34206">
            <w:rPr>
              <w:rFonts w:cstheme="minorHAnsi"/>
              <w:sz w:val="16"/>
              <w:szCs w:val="16"/>
            </w:rPr>
            <w:t>R0</w:t>
          </w:r>
          <w:r w:rsidR="006F78E6" w:rsidRPr="00E34206">
            <w:rPr>
              <w:rFonts w:cstheme="minorHAnsi"/>
              <w:sz w:val="16"/>
              <w:szCs w:val="16"/>
            </w:rPr>
            <w:t>1</w:t>
          </w:r>
        </w:p>
        <w:p w14:paraId="3B04BC92" w14:textId="0A8A75B6" w:rsidR="00CC34D1" w:rsidRPr="00E34206" w:rsidRDefault="000469B5" w:rsidP="005B3758">
          <w:pPr>
            <w:spacing w:line="120" w:lineRule="atLeast"/>
            <w:ind w:left="-86"/>
            <w:rPr>
              <w:rFonts w:cstheme="minorHAnsi"/>
              <w:sz w:val="16"/>
              <w:szCs w:val="16"/>
            </w:rPr>
          </w:pPr>
          <w:r w:rsidRPr="00E34206">
            <w:rPr>
              <w:rFonts w:cstheme="minorHAnsi"/>
              <w:sz w:val="16"/>
              <w:szCs w:val="16"/>
            </w:rPr>
            <w:t>14.10.2026</w:t>
          </w:r>
        </w:p>
      </w:tc>
    </w:tr>
  </w:tbl>
  <w:p w14:paraId="357353DD" w14:textId="77777777" w:rsidR="00615C2C" w:rsidRPr="00CC34D1" w:rsidRDefault="00615C2C" w:rsidP="00CC34D1">
    <w:pPr>
      <w:pStyle w:val="stBilgi"/>
      <w:jc w:val="cent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tag w:val="GTBClassification"/>
      <w:id w:val="1434707961"/>
      <w:lock w:val="sdtContentLocked"/>
      <w:placeholder>
        <w:docPart w:val="DefaultPlaceholder_-1854013440"/>
      </w:placeholder>
    </w:sdtPr>
    <w:sdtContent>
      <w:p w14:paraId="1F71F5E0" w14:textId="01D55C96" w:rsidR="00DA36D2" w:rsidRDefault="00091703" w:rsidP="00091703">
        <w:pPr>
          <w:pStyle w:val="stBilgi"/>
        </w:pPr>
        <w:r w:rsidRPr="00091703">
          <w:rPr>
            <w:rFonts w:ascii="Arial" w:hAnsi="Arial" w:cs="Arial"/>
            <w:b/>
            <w:color w:val="000000"/>
            <w:sz w:val="16"/>
          </w:rPr>
          <w:t>Classification:</w:t>
        </w:r>
        <w:r w:rsidRPr="00091703">
          <w:rPr>
            <w:rFonts w:ascii="Arial" w:hAnsi="Arial" w:cs="Arial"/>
            <w:color w:val="000000"/>
            <w:sz w:val="16"/>
          </w:rPr>
          <w:t xml:space="preserve"> </w:t>
        </w:r>
        <w:r w:rsidRPr="00091703">
          <w:rPr>
            <w:rFonts w:ascii="Arial" w:hAnsi="Arial" w:cs="Arial"/>
            <w:b/>
            <w:color w:val="FF0000"/>
            <w:sz w:val="16"/>
          </w:rPr>
          <w:t>Secret\Gizli</w:t>
        </w:r>
      </w:p>
    </w:sdtContent>
  </w:sdt>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AF1835"/>
    <w:multiLevelType w:val="hybridMultilevel"/>
    <w:tmpl w:val="D3366242"/>
    <w:lvl w:ilvl="0" w:tplc="041F0001">
      <w:start w:val="1"/>
      <w:numFmt w:val="bullet"/>
      <w:lvlText w:val=""/>
      <w:lvlJc w:val="left"/>
      <w:pPr>
        <w:ind w:left="1429" w:hanging="360"/>
      </w:pPr>
      <w:rPr>
        <w:rFonts w:ascii="Symbol" w:hAnsi="Symbol" w:hint="default"/>
      </w:rPr>
    </w:lvl>
    <w:lvl w:ilvl="1" w:tplc="041F0003" w:tentative="1">
      <w:start w:val="1"/>
      <w:numFmt w:val="bullet"/>
      <w:lvlText w:val="o"/>
      <w:lvlJc w:val="left"/>
      <w:pPr>
        <w:ind w:left="2149" w:hanging="360"/>
      </w:pPr>
      <w:rPr>
        <w:rFonts w:ascii="Courier New" w:hAnsi="Courier New" w:cs="Courier New" w:hint="default"/>
      </w:rPr>
    </w:lvl>
    <w:lvl w:ilvl="2" w:tplc="041F0005" w:tentative="1">
      <w:start w:val="1"/>
      <w:numFmt w:val="bullet"/>
      <w:lvlText w:val=""/>
      <w:lvlJc w:val="left"/>
      <w:pPr>
        <w:ind w:left="2869" w:hanging="360"/>
      </w:pPr>
      <w:rPr>
        <w:rFonts w:ascii="Wingdings" w:hAnsi="Wingdings" w:hint="default"/>
      </w:rPr>
    </w:lvl>
    <w:lvl w:ilvl="3" w:tplc="041F0001" w:tentative="1">
      <w:start w:val="1"/>
      <w:numFmt w:val="bullet"/>
      <w:lvlText w:val=""/>
      <w:lvlJc w:val="left"/>
      <w:pPr>
        <w:ind w:left="3589" w:hanging="360"/>
      </w:pPr>
      <w:rPr>
        <w:rFonts w:ascii="Symbol" w:hAnsi="Symbol" w:hint="default"/>
      </w:rPr>
    </w:lvl>
    <w:lvl w:ilvl="4" w:tplc="041F0003" w:tentative="1">
      <w:start w:val="1"/>
      <w:numFmt w:val="bullet"/>
      <w:lvlText w:val="o"/>
      <w:lvlJc w:val="left"/>
      <w:pPr>
        <w:ind w:left="4309" w:hanging="360"/>
      </w:pPr>
      <w:rPr>
        <w:rFonts w:ascii="Courier New" w:hAnsi="Courier New" w:cs="Courier New" w:hint="default"/>
      </w:rPr>
    </w:lvl>
    <w:lvl w:ilvl="5" w:tplc="041F0005" w:tentative="1">
      <w:start w:val="1"/>
      <w:numFmt w:val="bullet"/>
      <w:lvlText w:val=""/>
      <w:lvlJc w:val="left"/>
      <w:pPr>
        <w:ind w:left="5029" w:hanging="360"/>
      </w:pPr>
      <w:rPr>
        <w:rFonts w:ascii="Wingdings" w:hAnsi="Wingdings" w:hint="default"/>
      </w:rPr>
    </w:lvl>
    <w:lvl w:ilvl="6" w:tplc="041F0001" w:tentative="1">
      <w:start w:val="1"/>
      <w:numFmt w:val="bullet"/>
      <w:lvlText w:val=""/>
      <w:lvlJc w:val="left"/>
      <w:pPr>
        <w:ind w:left="5749" w:hanging="360"/>
      </w:pPr>
      <w:rPr>
        <w:rFonts w:ascii="Symbol" w:hAnsi="Symbol" w:hint="default"/>
      </w:rPr>
    </w:lvl>
    <w:lvl w:ilvl="7" w:tplc="041F0003" w:tentative="1">
      <w:start w:val="1"/>
      <w:numFmt w:val="bullet"/>
      <w:lvlText w:val="o"/>
      <w:lvlJc w:val="left"/>
      <w:pPr>
        <w:ind w:left="6469" w:hanging="360"/>
      </w:pPr>
      <w:rPr>
        <w:rFonts w:ascii="Courier New" w:hAnsi="Courier New" w:cs="Courier New" w:hint="default"/>
      </w:rPr>
    </w:lvl>
    <w:lvl w:ilvl="8" w:tplc="041F0005" w:tentative="1">
      <w:start w:val="1"/>
      <w:numFmt w:val="bullet"/>
      <w:lvlText w:val=""/>
      <w:lvlJc w:val="left"/>
      <w:pPr>
        <w:ind w:left="7189" w:hanging="360"/>
      </w:pPr>
      <w:rPr>
        <w:rFonts w:ascii="Wingdings" w:hAnsi="Wingdings" w:hint="default"/>
      </w:rPr>
    </w:lvl>
  </w:abstractNum>
  <w:abstractNum w:abstractNumId="1" w15:restartNumberingAfterBreak="0">
    <w:nsid w:val="21881A70"/>
    <w:multiLevelType w:val="hybridMultilevel"/>
    <w:tmpl w:val="C21AF762"/>
    <w:lvl w:ilvl="0" w:tplc="041F0001">
      <w:start w:val="1"/>
      <w:numFmt w:val="bullet"/>
      <w:lvlText w:val=""/>
      <w:lvlJc w:val="left"/>
      <w:pPr>
        <w:ind w:left="1429" w:hanging="360"/>
      </w:pPr>
      <w:rPr>
        <w:rFonts w:ascii="Symbol" w:hAnsi="Symbol" w:hint="default"/>
      </w:rPr>
    </w:lvl>
    <w:lvl w:ilvl="1" w:tplc="041F0003" w:tentative="1">
      <w:start w:val="1"/>
      <w:numFmt w:val="bullet"/>
      <w:lvlText w:val="o"/>
      <w:lvlJc w:val="left"/>
      <w:pPr>
        <w:ind w:left="2149" w:hanging="360"/>
      </w:pPr>
      <w:rPr>
        <w:rFonts w:ascii="Courier New" w:hAnsi="Courier New" w:cs="Courier New" w:hint="default"/>
      </w:rPr>
    </w:lvl>
    <w:lvl w:ilvl="2" w:tplc="041F0005" w:tentative="1">
      <w:start w:val="1"/>
      <w:numFmt w:val="bullet"/>
      <w:lvlText w:val=""/>
      <w:lvlJc w:val="left"/>
      <w:pPr>
        <w:ind w:left="2869" w:hanging="360"/>
      </w:pPr>
      <w:rPr>
        <w:rFonts w:ascii="Wingdings" w:hAnsi="Wingdings" w:hint="default"/>
      </w:rPr>
    </w:lvl>
    <w:lvl w:ilvl="3" w:tplc="041F0001" w:tentative="1">
      <w:start w:val="1"/>
      <w:numFmt w:val="bullet"/>
      <w:lvlText w:val=""/>
      <w:lvlJc w:val="left"/>
      <w:pPr>
        <w:ind w:left="3589" w:hanging="360"/>
      </w:pPr>
      <w:rPr>
        <w:rFonts w:ascii="Symbol" w:hAnsi="Symbol" w:hint="default"/>
      </w:rPr>
    </w:lvl>
    <w:lvl w:ilvl="4" w:tplc="041F0003" w:tentative="1">
      <w:start w:val="1"/>
      <w:numFmt w:val="bullet"/>
      <w:lvlText w:val="o"/>
      <w:lvlJc w:val="left"/>
      <w:pPr>
        <w:ind w:left="4309" w:hanging="360"/>
      </w:pPr>
      <w:rPr>
        <w:rFonts w:ascii="Courier New" w:hAnsi="Courier New" w:cs="Courier New" w:hint="default"/>
      </w:rPr>
    </w:lvl>
    <w:lvl w:ilvl="5" w:tplc="041F0005" w:tentative="1">
      <w:start w:val="1"/>
      <w:numFmt w:val="bullet"/>
      <w:lvlText w:val=""/>
      <w:lvlJc w:val="left"/>
      <w:pPr>
        <w:ind w:left="5029" w:hanging="360"/>
      </w:pPr>
      <w:rPr>
        <w:rFonts w:ascii="Wingdings" w:hAnsi="Wingdings" w:hint="default"/>
      </w:rPr>
    </w:lvl>
    <w:lvl w:ilvl="6" w:tplc="041F0001" w:tentative="1">
      <w:start w:val="1"/>
      <w:numFmt w:val="bullet"/>
      <w:lvlText w:val=""/>
      <w:lvlJc w:val="left"/>
      <w:pPr>
        <w:ind w:left="5749" w:hanging="360"/>
      </w:pPr>
      <w:rPr>
        <w:rFonts w:ascii="Symbol" w:hAnsi="Symbol" w:hint="default"/>
      </w:rPr>
    </w:lvl>
    <w:lvl w:ilvl="7" w:tplc="041F0003" w:tentative="1">
      <w:start w:val="1"/>
      <w:numFmt w:val="bullet"/>
      <w:lvlText w:val="o"/>
      <w:lvlJc w:val="left"/>
      <w:pPr>
        <w:ind w:left="6469" w:hanging="360"/>
      </w:pPr>
      <w:rPr>
        <w:rFonts w:ascii="Courier New" w:hAnsi="Courier New" w:cs="Courier New" w:hint="default"/>
      </w:rPr>
    </w:lvl>
    <w:lvl w:ilvl="8" w:tplc="041F0005" w:tentative="1">
      <w:start w:val="1"/>
      <w:numFmt w:val="bullet"/>
      <w:lvlText w:val=""/>
      <w:lvlJc w:val="left"/>
      <w:pPr>
        <w:ind w:left="7189" w:hanging="360"/>
      </w:pPr>
      <w:rPr>
        <w:rFonts w:ascii="Wingdings" w:hAnsi="Wingdings" w:hint="default"/>
      </w:rPr>
    </w:lvl>
  </w:abstractNum>
  <w:abstractNum w:abstractNumId="2" w15:restartNumberingAfterBreak="0">
    <w:nsid w:val="7695140F"/>
    <w:multiLevelType w:val="hybridMultilevel"/>
    <w:tmpl w:val="791EFC84"/>
    <w:lvl w:ilvl="0" w:tplc="041F0001">
      <w:start w:val="1"/>
      <w:numFmt w:val="bullet"/>
      <w:lvlText w:val=""/>
      <w:lvlJc w:val="left"/>
      <w:pPr>
        <w:ind w:left="1429" w:hanging="360"/>
      </w:pPr>
      <w:rPr>
        <w:rFonts w:ascii="Symbol" w:hAnsi="Symbol" w:hint="default"/>
      </w:rPr>
    </w:lvl>
    <w:lvl w:ilvl="1" w:tplc="041F0003" w:tentative="1">
      <w:start w:val="1"/>
      <w:numFmt w:val="bullet"/>
      <w:lvlText w:val="o"/>
      <w:lvlJc w:val="left"/>
      <w:pPr>
        <w:ind w:left="2149" w:hanging="360"/>
      </w:pPr>
      <w:rPr>
        <w:rFonts w:ascii="Courier New" w:hAnsi="Courier New" w:cs="Courier New" w:hint="default"/>
      </w:rPr>
    </w:lvl>
    <w:lvl w:ilvl="2" w:tplc="041F0005" w:tentative="1">
      <w:start w:val="1"/>
      <w:numFmt w:val="bullet"/>
      <w:lvlText w:val=""/>
      <w:lvlJc w:val="left"/>
      <w:pPr>
        <w:ind w:left="2869" w:hanging="360"/>
      </w:pPr>
      <w:rPr>
        <w:rFonts w:ascii="Wingdings" w:hAnsi="Wingdings" w:hint="default"/>
      </w:rPr>
    </w:lvl>
    <w:lvl w:ilvl="3" w:tplc="041F0001" w:tentative="1">
      <w:start w:val="1"/>
      <w:numFmt w:val="bullet"/>
      <w:lvlText w:val=""/>
      <w:lvlJc w:val="left"/>
      <w:pPr>
        <w:ind w:left="3589" w:hanging="360"/>
      </w:pPr>
      <w:rPr>
        <w:rFonts w:ascii="Symbol" w:hAnsi="Symbol" w:hint="default"/>
      </w:rPr>
    </w:lvl>
    <w:lvl w:ilvl="4" w:tplc="041F0003" w:tentative="1">
      <w:start w:val="1"/>
      <w:numFmt w:val="bullet"/>
      <w:lvlText w:val="o"/>
      <w:lvlJc w:val="left"/>
      <w:pPr>
        <w:ind w:left="4309" w:hanging="360"/>
      </w:pPr>
      <w:rPr>
        <w:rFonts w:ascii="Courier New" w:hAnsi="Courier New" w:cs="Courier New" w:hint="default"/>
      </w:rPr>
    </w:lvl>
    <w:lvl w:ilvl="5" w:tplc="041F0005" w:tentative="1">
      <w:start w:val="1"/>
      <w:numFmt w:val="bullet"/>
      <w:lvlText w:val=""/>
      <w:lvlJc w:val="left"/>
      <w:pPr>
        <w:ind w:left="5029" w:hanging="360"/>
      </w:pPr>
      <w:rPr>
        <w:rFonts w:ascii="Wingdings" w:hAnsi="Wingdings" w:hint="default"/>
      </w:rPr>
    </w:lvl>
    <w:lvl w:ilvl="6" w:tplc="041F0001" w:tentative="1">
      <w:start w:val="1"/>
      <w:numFmt w:val="bullet"/>
      <w:lvlText w:val=""/>
      <w:lvlJc w:val="left"/>
      <w:pPr>
        <w:ind w:left="5749" w:hanging="360"/>
      </w:pPr>
      <w:rPr>
        <w:rFonts w:ascii="Symbol" w:hAnsi="Symbol" w:hint="default"/>
      </w:rPr>
    </w:lvl>
    <w:lvl w:ilvl="7" w:tplc="041F0003" w:tentative="1">
      <w:start w:val="1"/>
      <w:numFmt w:val="bullet"/>
      <w:lvlText w:val="o"/>
      <w:lvlJc w:val="left"/>
      <w:pPr>
        <w:ind w:left="6469" w:hanging="360"/>
      </w:pPr>
      <w:rPr>
        <w:rFonts w:ascii="Courier New" w:hAnsi="Courier New" w:cs="Courier New" w:hint="default"/>
      </w:rPr>
    </w:lvl>
    <w:lvl w:ilvl="8" w:tplc="041F0005" w:tentative="1">
      <w:start w:val="1"/>
      <w:numFmt w:val="bullet"/>
      <w:lvlText w:val=""/>
      <w:lvlJc w:val="left"/>
      <w:pPr>
        <w:ind w:left="7189" w:hanging="360"/>
      </w:pPr>
      <w:rPr>
        <w:rFonts w:ascii="Wingdings" w:hAnsi="Wingdings" w:hint="default"/>
      </w:rPr>
    </w:lvl>
  </w:abstractNum>
  <w:num w:numId="1" w16cid:durableId="1062142871">
    <w:abstractNumId w:val="2"/>
  </w:num>
  <w:num w:numId="2" w16cid:durableId="1010715929">
    <w:abstractNumId w:val="0"/>
  </w:num>
  <w:num w:numId="3" w16cid:durableId="644965887">
    <w:abstractNumId w:val="1"/>
  </w:num>
  <w:numIdMacAtCleanup w:val="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savePreviewPicture/>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96AC5"/>
    <w:rsid w:val="00004C28"/>
    <w:rsid w:val="00005934"/>
    <w:rsid w:val="000062C2"/>
    <w:rsid w:val="00006C22"/>
    <w:rsid w:val="00007866"/>
    <w:rsid w:val="00007900"/>
    <w:rsid w:val="00011E92"/>
    <w:rsid w:val="0001450C"/>
    <w:rsid w:val="00015BAF"/>
    <w:rsid w:val="000166F0"/>
    <w:rsid w:val="00016A38"/>
    <w:rsid w:val="000172AE"/>
    <w:rsid w:val="00017CE9"/>
    <w:rsid w:val="00020042"/>
    <w:rsid w:val="00024327"/>
    <w:rsid w:val="00024A75"/>
    <w:rsid w:val="00025FFA"/>
    <w:rsid w:val="00027B66"/>
    <w:rsid w:val="000317C6"/>
    <w:rsid w:val="00042054"/>
    <w:rsid w:val="000423D0"/>
    <w:rsid w:val="0004381F"/>
    <w:rsid w:val="0004632F"/>
    <w:rsid w:val="00046961"/>
    <w:rsid w:val="000469B5"/>
    <w:rsid w:val="00052B85"/>
    <w:rsid w:val="00060D87"/>
    <w:rsid w:val="000627C2"/>
    <w:rsid w:val="00065BEF"/>
    <w:rsid w:val="00066E9C"/>
    <w:rsid w:val="00071EC6"/>
    <w:rsid w:val="00072971"/>
    <w:rsid w:val="0007365F"/>
    <w:rsid w:val="00074101"/>
    <w:rsid w:val="00074326"/>
    <w:rsid w:val="000750D9"/>
    <w:rsid w:val="00075F48"/>
    <w:rsid w:val="00081BA6"/>
    <w:rsid w:val="00082258"/>
    <w:rsid w:val="00083F3F"/>
    <w:rsid w:val="00091703"/>
    <w:rsid w:val="00092DB4"/>
    <w:rsid w:val="00092E5A"/>
    <w:rsid w:val="00093C80"/>
    <w:rsid w:val="00095E05"/>
    <w:rsid w:val="0009691E"/>
    <w:rsid w:val="0009778B"/>
    <w:rsid w:val="00097B6E"/>
    <w:rsid w:val="000A1EC7"/>
    <w:rsid w:val="000A1FB4"/>
    <w:rsid w:val="000A1FEC"/>
    <w:rsid w:val="000A3ACB"/>
    <w:rsid w:val="000A4453"/>
    <w:rsid w:val="000A64C5"/>
    <w:rsid w:val="000A6A4C"/>
    <w:rsid w:val="000A726F"/>
    <w:rsid w:val="000B3798"/>
    <w:rsid w:val="000B7575"/>
    <w:rsid w:val="000B7759"/>
    <w:rsid w:val="000C07CE"/>
    <w:rsid w:val="000C136A"/>
    <w:rsid w:val="000C330C"/>
    <w:rsid w:val="000C4756"/>
    <w:rsid w:val="000C494B"/>
    <w:rsid w:val="000D1FAD"/>
    <w:rsid w:val="000D207E"/>
    <w:rsid w:val="000D6E5A"/>
    <w:rsid w:val="000D7D42"/>
    <w:rsid w:val="000E0484"/>
    <w:rsid w:val="000E43F6"/>
    <w:rsid w:val="000E6D08"/>
    <w:rsid w:val="000F1649"/>
    <w:rsid w:val="000F2E82"/>
    <w:rsid w:val="000F6024"/>
    <w:rsid w:val="000F7877"/>
    <w:rsid w:val="0010184D"/>
    <w:rsid w:val="00106703"/>
    <w:rsid w:val="00112F89"/>
    <w:rsid w:val="00120694"/>
    <w:rsid w:val="00121785"/>
    <w:rsid w:val="00122495"/>
    <w:rsid w:val="00124306"/>
    <w:rsid w:val="00125BA9"/>
    <w:rsid w:val="00131F46"/>
    <w:rsid w:val="00134753"/>
    <w:rsid w:val="0013598E"/>
    <w:rsid w:val="001361D0"/>
    <w:rsid w:val="001367F4"/>
    <w:rsid w:val="0014143E"/>
    <w:rsid w:val="00143992"/>
    <w:rsid w:val="00145D59"/>
    <w:rsid w:val="00147BE8"/>
    <w:rsid w:val="00150B41"/>
    <w:rsid w:val="0015130E"/>
    <w:rsid w:val="00153251"/>
    <w:rsid w:val="00157A37"/>
    <w:rsid w:val="00161ABB"/>
    <w:rsid w:val="00161FE6"/>
    <w:rsid w:val="00163F80"/>
    <w:rsid w:val="00165D2D"/>
    <w:rsid w:val="00165EDD"/>
    <w:rsid w:val="00166A81"/>
    <w:rsid w:val="001674D8"/>
    <w:rsid w:val="00173251"/>
    <w:rsid w:val="00173F28"/>
    <w:rsid w:val="00176112"/>
    <w:rsid w:val="00176818"/>
    <w:rsid w:val="00184777"/>
    <w:rsid w:val="00191267"/>
    <w:rsid w:val="001929A2"/>
    <w:rsid w:val="0019348A"/>
    <w:rsid w:val="00194E1A"/>
    <w:rsid w:val="00194E5E"/>
    <w:rsid w:val="00195691"/>
    <w:rsid w:val="0019628E"/>
    <w:rsid w:val="001A0320"/>
    <w:rsid w:val="001A0406"/>
    <w:rsid w:val="001B349B"/>
    <w:rsid w:val="001B4102"/>
    <w:rsid w:val="001B4615"/>
    <w:rsid w:val="001B4A22"/>
    <w:rsid w:val="001B69EF"/>
    <w:rsid w:val="001B7144"/>
    <w:rsid w:val="001C0665"/>
    <w:rsid w:val="001C3E73"/>
    <w:rsid w:val="001C6570"/>
    <w:rsid w:val="001C6CE1"/>
    <w:rsid w:val="001C72FD"/>
    <w:rsid w:val="001D08B1"/>
    <w:rsid w:val="001D0EAB"/>
    <w:rsid w:val="001D6AA6"/>
    <w:rsid w:val="001E1914"/>
    <w:rsid w:val="001E26CE"/>
    <w:rsid w:val="001E2976"/>
    <w:rsid w:val="001E5796"/>
    <w:rsid w:val="001E7788"/>
    <w:rsid w:val="001F18FC"/>
    <w:rsid w:val="001F2F4B"/>
    <w:rsid w:val="001F49EE"/>
    <w:rsid w:val="001F7F78"/>
    <w:rsid w:val="00200A8F"/>
    <w:rsid w:val="002044BB"/>
    <w:rsid w:val="00206867"/>
    <w:rsid w:val="002101D7"/>
    <w:rsid w:val="00210FFB"/>
    <w:rsid w:val="00211083"/>
    <w:rsid w:val="002121AD"/>
    <w:rsid w:val="00212CE5"/>
    <w:rsid w:val="002137BD"/>
    <w:rsid w:val="0021381F"/>
    <w:rsid w:val="002152D7"/>
    <w:rsid w:val="00215D5C"/>
    <w:rsid w:val="00215E94"/>
    <w:rsid w:val="002168D5"/>
    <w:rsid w:val="00217DB3"/>
    <w:rsid w:val="002225A1"/>
    <w:rsid w:val="002227C0"/>
    <w:rsid w:val="00223294"/>
    <w:rsid w:val="002273A3"/>
    <w:rsid w:val="0023048B"/>
    <w:rsid w:val="002317E3"/>
    <w:rsid w:val="00233D59"/>
    <w:rsid w:val="00234C38"/>
    <w:rsid w:val="00234C6F"/>
    <w:rsid w:val="00240475"/>
    <w:rsid w:val="00241786"/>
    <w:rsid w:val="0024179D"/>
    <w:rsid w:val="002437E5"/>
    <w:rsid w:val="00243EC1"/>
    <w:rsid w:val="0024476B"/>
    <w:rsid w:val="00244E28"/>
    <w:rsid w:val="00245E8F"/>
    <w:rsid w:val="00246299"/>
    <w:rsid w:val="00246D9E"/>
    <w:rsid w:val="002474CF"/>
    <w:rsid w:val="002501D2"/>
    <w:rsid w:val="002510F5"/>
    <w:rsid w:val="002606EC"/>
    <w:rsid w:val="00260DC7"/>
    <w:rsid w:val="00262471"/>
    <w:rsid w:val="00262FBC"/>
    <w:rsid w:val="00263D7C"/>
    <w:rsid w:val="00265D3F"/>
    <w:rsid w:val="002679F3"/>
    <w:rsid w:val="002707D8"/>
    <w:rsid w:val="00271F88"/>
    <w:rsid w:val="00272701"/>
    <w:rsid w:val="00274202"/>
    <w:rsid w:val="0028335B"/>
    <w:rsid w:val="0028378B"/>
    <w:rsid w:val="0028741B"/>
    <w:rsid w:val="002920F8"/>
    <w:rsid w:val="002921F6"/>
    <w:rsid w:val="002933E5"/>
    <w:rsid w:val="00294E9B"/>
    <w:rsid w:val="00295B84"/>
    <w:rsid w:val="0029660E"/>
    <w:rsid w:val="0029661A"/>
    <w:rsid w:val="0029666A"/>
    <w:rsid w:val="002971B9"/>
    <w:rsid w:val="002A3A6F"/>
    <w:rsid w:val="002A3CD9"/>
    <w:rsid w:val="002A6CDD"/>
    <w:rsid w:val="002A7373"/>
    <w:rsid w:val="002B03BD"/>
    <w:rsid w:val="002B1E60"/>
    <w:rsid w:val="002B2A36"/>
    <w:rsid w:val="002B3BA5"/>
    <w:rsid w:val="002B68BC"/>
    <w:rsid w:val="002C391E"/>
    <w:rsid w:val="002C4334"/>
    <w:rsid w:val="002C68A9"/>
    <w:rsid w:val="002C6FF7"/>
    <w:rsid w:val="002C7A5E"/>
    <w:rsid w:val="002D0742"/>
    <w:rsid w:val="002D40A4"/>
    <w:rsid w:val="002D5595"/>
    <w:rsid w:val="002D5F67"/>
    <w:rsid w:val="002D7A52"/>
    <w:rsid w:val="002E01EF"/>
    <w:rsid w:val="002E195F"/>
    <w:rsid w:val="002E3435"/>
    <w:rsid w:val="002E5E6C"/>
    <w:rsid w:val="002F0111"/>
    <w:rsid w:val="002F0522"/>
    <w:rsid w:val="002F1414"/>
    <w:rsid w:val="002F28A8"/>
    <w:rsid w:val="002F3933"/>
    <w:rsid w:val="002F4841"/>
    <w:rsid w:val="002F60F4"/>
    <w:rsid w:val="002F7B71"/>
    <w:rsid w:val="00300C48"/>
    <w:rsid w:val="00302684"/>
    <w:rsid w:val="00305F15"/>
    <w:rsid w:val="00307172"/>
    <w:rsid w:val="00307898"/>
    <w:rsid w:val="00311AB0"/>
    <w:rsid w:val="0031430C"/>
    <w:rsid w:val="00314B0C"/>
    <w:rsid w:val="00315B8B"/>
    <w:rsid w:val="00316783"/>
    <w:rsid w:val="0032115A"/>
    <w:rsid w:val="00321587"/>
    <w:rsid w:val="00322172"/>
    <w:rsid w:val="003221E1"/>
    <w:rsid w:val="0032506B"/>
    <w:rsid w:val="00325D13"/>
    <w:rsid w:val="00326FEC"/>
    <w:rsid w:val="00331796"/>
    <w:rsid w:val="0033222A"/>
    <w:rsid w:val="0033285F"/>
    <w:rsid w:val="0033464A"/>
    <w:rsid w:val="0033759F"/>
    <w:rsid w:val="0034071D"/>
    <w:rsid w:val="00344CFD"/>
    <w:rsid w:val="00345F1C"/>
    <w:rsid w:val="003460DE"/>
    <w:rsid w:val="00364D72"/>
    <w:rsid w:val="00365AD9"/>
    <w:rsid w:val="00365F77"/>
    <w:rsid w:val="00373DD8"/>
    <w:rsid w:val="00373F3C"/>
    <w:rsid w:val="00374953"/>
    <w:rsid w:val="00381ECA"/>
    <w:rsid w:val="003848F7"/>
    <w:rsid w:val="00390497"/>
    <w:rsid w:val="00392F05"/>
    <w:rsid w:val="00393651"/>
    <w:rsid w:val="00395D08"/>
    <w:rsid w:val="003973E3"/>
    <w:rsid w:val="00397D61"/>
    <w:rsid w:val="003A00DE"/>
    <w:rsid w:val="003A0DDD"/>
    <w:rsid w:val="003A1C8B"/>
    <w:rsid w:val="003A3436"/>
    <w:rsid w:val="003A398B"/>
    <w:rsid w:val="003A469D"/>
    <w:rsid w:val="003A4977"/>
    <w:rsid w:val="003A68F1"/>
    <w:rsid w:val="003A7403"/>
    <w:rsid w:val="003A772A"/>
    <w:rsid w:val="003B11B0"/>
    <w:rsid w:val="003B1309"/>
    <w:rsid w:val="003B4BB2"/>
    <w:rsid w:val="003B4D38"/>
    <w:rsid w:val="003B7B5D"/>
    <w:rsid w:val="003B7F2E"/>
    <w:rsid w:val="003C11B9"/>
    <w:rsid w:val="003C20D1"/>
    <w:rsid w:val="003C370E"/>
    <w:rsid w:val="003C49B5"/>
    <w:rsid w:val="003C572C"/>
    <w:rsid w:val="003C6C94"/>
    <w:rsid w:val="003C71D8"/>
    <w:rsid w:val="003D1A06"/>
    <w:rsid w:val="003D35D1"/>
    <w:rsid w:val="003D3FCE"/>
    <w:rsid w:val="003D4A28"/>
    <w:rsid w:val="003D6933"/>
    <w:rsid w:val="003D6E7B"/>
    <w:rsid w:val="003D752A"/>
    <w:rsid w:val="003D7E33"/>
    <w:rsid w:val="003E15D0"/>
    <w:rsid w:val="003E2831"/>
    <w:rsid w:val="003E29FC"/>
    <w:rsid w:val="003E4577"/>
    <w:rsid w:val="003E7E7B"/>
    <w:rsid w:val="003F1D68"/>
    <w:rsid w:val="003F2C21"/>
    <w:rsid w:val="003F39B2"/>
    <w:rsid w:val="003F3C12"/>
    <w:rsid w:val="003F7D0C"/>
    <w:rsid w:val="004001FD"/>
    <w:rsid w:val="004027AE"/>
    <w:rsid w:val="00402B34"/>
    <w:rsid w:val="004046F8"/>
    <w:rsid w:val="00404F6E"/>
    <w:rsid w:val="004057C3"/>
    <w:rsid w:val="004079DE"/>
    <w:rsid w:val="00407D9D"/>
    <w:rsid w:val="00410C01"/>
    <w:rsid w:val="00411C1C"/>
    <w:rsid w:val="00413C27"/>
    <w:rsid w:val="0041624E"/>
    <w:rsid w:val="0043027B"/>
    <w:rsid w:val="00433819"/>
    <w:rsid w:val="00433CB9"/>
    <w:rsid w:val="00434F4D"/>
    <w:rsid w:val="004403CF"/>
    <w:rsid w:val="00441B7A"/>
    <w:rsid w:val="0044295D"/>
    <w:rsid w:val="00450D37"/>
    <w:rsid w:val="00453318"/>
    <w:rsid w:val="0045497F"/>
    <w:rsid w:val="00460039"/>
    <w:rsid w:val="004654AD"/>
    <w:rsid w:val="00466673"/>
    <w:rsid w:val="00466BF1"/>
    <w:rsid w:val="004709F5"/>
    <w:rsid w:val="0047101D"/>
    <w:rsid w:val="00472054"/>
    <w:rsid w:val="004729F2"/>
    <w:rsid w:val="00477A5C"/>
    <w:rsid w:val="00481EAA"/>
    <w:rsid w:val="004831D8"/>
    <w:rsid w:val="00483AC5"/>
    <w:rsid w:val="00483F0F"/>
    <w:rsid w:val="00483F9E"/>
    <w:rsid w:val="00484107"/>
    <w:rsid w:val="0048544F"/>
    <w:rsid w:val="004864B7"/>
    <w:rsid w:val="00490402"/>
    <w:rsid w:val="004920FA"/>
    <w:rsid w:val="00492105"/>
    <w:rsid w:val="00495649"/>
    <w:rsid w:val="0049619F"/>
    <w:rsid w:val="00496EFF"/>
    <w:rsid w:val="00497C87"/>
    <w:rsid w:val="004A0624"/>
    <w:rsid w:val="004A36BA"/>
    <w:rsid w:val="004A4938"/>
    <w:rsid w:val="004A4AB1"/>
    <w:rsid w:val="004A6103"/>
    <w:rsid w:val="004B0CE4"/>
    <w:rsid w:val="004B232D"/>
    <w:rsid w:val="004B4BAC"/>
    <w:rsid w:val="004B5DB7"/>
    <w:rsid w:val="004B6529"/>
    <w:rsid w:val="004B729E"/>
    <w:rsid w:val="004C000F"/>
    <w:rsid w:val="004C0DFE"/>
    <w:rsid w:val="004C1A5D"/>
    <w:rsid w:val="004C2174"/>
    <w:rsid w:val="004C23D6"/>
    <w:rsid w:val="004C404D"/>
    <w:rsid w:val="004C7207"/>
    <w:rsid w:val="004C7D72"/>
    <w:rsid w:val="004D0E1A"/>
    <w:rsid w:val="004D695D"/>
    <w:rsid w:val="004E0EB5"/>
    <w:rsid w:val="004E353A"/>
    <w:rsid w:val="004E4B73"/>
    <w:rsid w:val="004E5CD9"/>
    <w:rsid w:val="004E6B86"/>
    <w:rsid w:val="004E7F49"/>
    <w:rsid w:val="004F4BFC"/>
    <w:rsid w:val="004F51F8"/>
    <w:rsid w:val="004F57EC"/>
    <w:rsid w:val="004F639A"/>
    <w:rsid w:val="005013D2"/>
    <w:rsid w:val="0050397B"/>
    <w:rsid w:val="00511FE2"/>
    <w:rsid w:val="00513159"/>
    <w:rsid w:val="0051505E"/>
    <w:rsid w:val="00517E77"/>
    <w:rsid w:val="00522980"/>
    <w:rsid w:val="00525B2E"/>
    <w:rsid w:val="0052607C"/>
    <w:rsid w:val="00526C83"/>
    <w:rsid w:val="00527295"/>
    <w:rsid w:val="00530117"/>
    <w:rsid w:val="00531584"/>
    <w:rsid w:val="005321D1"/>
    <w:rsid w:val="00532E52"/>
    <w:rsid w:val="005337CF"/>
    <w:rsid w:val="00534936"/>
    <w:rsid w:val="00535330"/>
    <w:rsid w:val="00535E6B"/>
    <w:rsid w:val="00535EE6"/>
    <w:rsid w:val="00537046"/>
    <w:rsid w:val="005375EF"/>
    <w:rsid w:val="0054019D"/>
    <w:rsid w:val="005503D3"/>
    <w:rsid w:val="00550C2A"/>
    <w:rsid w:val="005515BB"/>
    <w:rsid w:val="00551A5C"/>
    <w:rsid w:val="00551ECF"/>
    <w:rsid w:val="00552248"/>
    <w:rsid w:val="00553A2B"/>
    <w:rsid w:val="00553A50"/>
    <w:rsid w:val="005575F3"/>
    <w:rsid w:val="00557BBD"/>
    <w:rsid w:val="0056174A"/>
    <w:rsid w:val="00562387"/>
    <w:rsid w:val="00562863"/>
    <w:rsid w:val="00563321"/>
    <w:rsid w:val="00570F7E"/>
    <w:rsid w:val="005710F9"/>
    <w:rsid w:val="0057128A"/>
    <w:rsid w:val="005713AB"/>
    <w:rsid w:val="005713F4"/>
    <w:rsid w:val="005716CF"/>
    <w:rsid w:val="0057182A"/>
    <w:rsid w:val="00574AD6"/>
    <w:rsid w:val="00575CE2"/>
    <w:rsid w:val="00577EFA"/>
    <w:rsid w:val="00580BA5"/>
    <w:rsid w:val="005810AA"/>
    <w:rsid w:val="00581F6B"/>
    <w:rsid w:val="00582D3E"/>
    <w:rsid w:val="00583F13"/>
    <w:rsid w:val="0058443E"/>
    <w:rsid w:val="00584EFE"/>
    <w:rsid w:val="00586E1E"/>
    <w:rsid w:val="005907CC"/>
    <w:rsid w:val="00591114"/>
    <w:rsid w:val="0059143C"/>
    <w:rsid w:val="005919F4"/>
    <w:rsid w:val="00597227"/>
    <w:rsid w:val="005A094F"/>
    <w:rsid w:val="005A7CF0"/>
    <w:rsid w:val="005B2D65"/>
    <w:rsid w:val="005B3758"/>
    <w:rsid w:val="005B3CD4"/>
    <w:rsid w:val="005B67CE"/>
    <w:rsid w:val="005C0902"/>
    <w:rsid w:val="005C1290"/>
    <w:rsid w:val="005C25E0"/>
    <w:rsid w:val="005C41BE"/>
    <w:rsid w:val="005C6605"/>
    <w:rsid w:val="005C7318"/>
    <w:rsid w:val="005C78F1"/>
    <w:rsid w:val="005C7ACC"/>
    <w:rsid w:val="005D00D4"/>
    <w:rsid w:val="005D0442"/>
    <w:rsid w:val="005D076B"/>
    <w:rsid w:val="005D55D4"/>
    <w:rsid w:val="005E02CF"/>
    <w:rsid w:val="005E29FE"/>
    <w:rsid w:val="005E359B"/>
    <w:rsid w:val="005E60EF"/>
    <w:rsid w:val="005E6435"/>
    <w:rsid w:val="005F1E07"/>
    <w:rsid w:val="005F1EC7"/>
    <w:rsid w:val="005F2593"/>
    <w:rsid w:val="005F3408"/>
    <w:rsid w:val="005F5DC2"/>
    <w:rsid w:val="005F61B1"/>
    <w:rsid w:val="005F68C0"/>
    <w:rsid w:val="0060494B"/>
    <w:rsid w:val="00605B1E"/>
    <w:rsid w:val="00605F5D"/>
    <w:rsid w:val="0060622E"/>
    <w:rsid w:val="006118DB"/>
    <w:rsid w:val="00612892"/>
    <w:rsid w:val="00612DF8"/>
    <w:rsid w:val="00615C2C"/>
    <w:rsid w:val="0061653C"/>
    <w:rsid w:val="006169BD"/>
    <w:rsid w:val="0062315F"/>
    <w:rsid w:val="0062344A"/>
    <w:rsid w:val="00623D61"/>
    <w:rsid w:val="00624F48"/>
    <w:rsid w:val="00627B21"/>
    <w:rsid w:val="00630789"/>
    <w:rsid w:val="00632AFC"/>
    <w:rsid w:val="00636062"/>
    <w:rsid w:val="00637DA2"/>
    <w:rsid w:val="00641237"/>
    <w:rsid w:val="006422A9"/>
    <w:rsid w:val="00643A21"/>
    <w:rsid w:val="00644428"/>
    <w:rsid w:val="0064456E"/>
    <w:rsid w:val="00645360"/>
    <w:rsid w:val="006454F2"/>
    <w:rsid w:val="00646CA9"/>
    <w:rsid w:val="00653D9C"/>
    <w:rsid w:val="006542A6"/>
    <w:rsid w:val="006542E9"/>
    <w:rsid w:val="00654BF0"/>
    <w:rsid w:val="00655736"/>
    <w:rsid w:val="00656882"/>
    <w:rsid w:val="00660E64"/>
    <w:rsid w:val="00661DC5"/>
    <w:rsid w:val="00663621"/>
    <w:rsid w:val="0066554F"/>
    <w:rsid w:val="00666D09"/>
    <w:rsid w:val="00666E7B"/>
    <w:rsid w:val="00667B6B"/>
    <w:rsid w:val="0067094E"/>
    <w:rsid w:val="00672867"/>
    <w:rsid w:val="0067388E"/>
    <w:rsid w:val="00674819"/>
    <w:rsid w:val="0067681F"/>
    <w:rsid w:val="00676C64"/>
    <w:rsid w:val="006837A2"/>
    <w:rsid w:val="0068428A"/>
    <w:rsid w:val="00692A7F"/>
    <w:rsid w:val="00693EF8"/>
    <w:rsid w:val="0069401C"/>
    <w:rsid w:val="00696461"/>
    <w:rsid w:val="00697E34"/>
    <w:rsid w:val="006A6FC4"/>
    <w:rsid w:val="006B0220"/>
    <w:rsid w:val="006B145A"/>
    <w:rsid w:val="006B1808"/>
    <w:rsid w:val="006B293D"/>
    <w:rsid w:val="006B2E87"/>
    <w:rsid w:val="006B4568"/>
    <w:rsid w:val="006B7365"/>
    <w:rsid w:val="006C0EF9"/>
    <w:rsid w:val="006C342A"/>
    <w:rsid w:val="006C34E5"/>
    <w:rsid w:val="006D1D38"/>
    <w:rsid w:val="006D31C4"/>
    <w:rsid w:val="006D4D4D"/>
    <w:rsid w:val="006D508A"/>
    <w:rsid w:val="006D59D8"/>
    <w:rsid w:val="006D6645"/>
    <w:rsid w:val="006D769E"/>
    <w:rsid w:val="006E029B"/>
    <w:rsid w:val="006E1A31"/>
    <w:rsid w:val="006E4058"/>
    <w:rsid w:val="006F28B3"/>
    <w:rsid w:val="006F4DAD"/>
    <w:rsid w:val="006F4F36"/>
    <w:rsid w:val="006F78E6"/>
    <w:rsid w:val="0070114C"/>
    <w:rsid w:val="0070693E"/>
    <w:rsid w:val="00711B79"/>
    <w:rsid w:val="00714CF2"/>
    <w:rsid w:val="0071592E"/>
    <w:rsid w:val="00716077"/>
    <w:rsid w:val="007208D4"/>
    <w:rsid w:val="00722FD3"/>
    <w:rsid w:val="00723D00"/>
    <w:rsid w:val="007245C3"/>
    <w:rsid w:val="00730075"/>
    <w:rsid w:val="007304CF"/>
    <w:rsid w:val="00730B26"/>
    <w:rsid w:val="00730DE1"/>
    <w:rsid w:val="00731384"/>
    <w:rsid w:val="00731D7E"/>
    <w:rsid w:val="00734C3D"/>
    <w:rsid w:val="00734E93"/>
    <w:rsid w:val="007413D0"/>
    <w:rsid w:val="007457E5"/>
    <w:rsid w:val="0074672A"/>
    <w:rsid w:val="00746BFC"/>
    <w:rsid w:val="00746ECF"/>
    <w:rsid w:val="007520E1"/>
    <w:rsid w:val="00754DE4"/>
    <w:rsid w:val="0075606A"/>
    <w:rsid w:val="00756E42"/>
    <w:rsid w:val="00757850"/>
    <w:rsid w:val="00767F53"/>
    <w:rsid w:val="00772988"/>
    <w:rsid w:val="00772C38"/>
    <w:rsid w:val="0077477D"/>
    <w:rsid w:val="007753FF"/>
    <w:rsid w:val="00776696"/>
    <w:rsid w:val="007768CE"/>
    <w:rsid w:val="00781A8E"/>
    <w:rsid w:val="0078352D"/>
    <w:rsid w:val="00783B87"/>
    <w:rsid w:val="0078401D"/>
    <w:rsid w:val="007873B5"/>
    <w:rsid w:val="00792717"/>
    <w:rsid w:val="00796291"/>
    <w:rsid w:val="007A27BA"/>
    <w:rsid w:val="007B09F3"/>
    <w:rsid w:val="007B6091"/>
    <w:rsid w:val="007C0424"/>
    <w:rsid w:val="007C3694"/>
    <w:rsid w:val="007C40D9"/>
    <w:rsid w:val="007C6AD1"/>
    <w:rsid w:val="007C76BD"/>
    <w:rsid w:val="007C7A62"/>
    <w:rsid w:val="007D0894"/>
    <w:rsid w:val="007D1473"/>
    <w:rsid w:val="007D58FA"/>
    <w:rsid w:val="007E1963"/>
    <w:rsid w:val="007E1D0D"/>
    <w:rsid w:val="007E28C7"/>
    <w:rsid w:val="007E2BDD"/>
    <w:rsid w:val="007E490F"/>
    <w:rsid w:val="007E5B08"/>
    <w:rsid w:val="007E5EB7"/>
    <w:rsid w:val="007E62EC"/>
    <w:rsid w:val="007E7E6B"/>
    <w:rsid w:val="007F19C3"/>
    <w:rsid w:val="007F210F"/>
    <w:rsid w:val="007F288D"/>
    <w:rsid w:val="007F3DDA"/>
    <w:rsid w:val="007F5D6A"/>
    <w:rsid w:val="007F609C"/>
    <w:rsid w:val="007F7182"/>
    <w:rsid w:val="007F78D4"/>
    <w:rsid w:val="007F7A21"/>
    <w:rsid w:val="008026E8"/>
    <w:rsid w:val="00804E62"/>
    <w:rsid w:val="0080538A"/>
    <w:rsid w:val="00805B5E"/>
    <w:rsid w:val="00811332"/>
    <w:rsid w:val="008127DB"/>
    <w:rsid w:val="00812D17"/>
    <w:rsid w:val="00813326"/>
    <w:rsid w:val="00813BF2"/>
    <w:rsid w:val="00814653"/>
    <w:rsid w:val="00816150"/>
    <w:rsid w:val="008164E5"/>
    <w:rsid w:val="00816B26"/>
    <w:rsid w:val="0081773D"/>
    <w:rsid w:val="008207D1"/>
    <w:rsid w:val="00822C7C"/>
    <w:rsid w:val="00831A75"/>
    <w:rsid w:val="0083527E"/>
    <w:rsid w:val="0083565A"/>
    <w:rsid w:val="00835DC1"/>
    <w:rsid w:val="00840820"/>
    <w:rsid w:val="00841697"/>
    <w:rsid w:val="008422BF"/>
    <w:rsid w:val="00842F65"/>
    <w:rsid w:val="008459C6"/>
    <w:rsid w:val="00847352"/>
    <w:rsid w:val="00850549"/>
    <w:rsid w:val="00851DD8"/>
    <w:rsid w:val="00852870"/>
    <w:rsid w:val="0085318C"/>
    <w:rsid w:val="008532A5"/>
    <w:rsid w:val="008602C9"/>
    <w:rsid w:val="00860923"/>
    <w:rsid w:val="008613B2"/>
    <w:rsid w:val="00861CF1"/>
    <w:rsid w:val="0087543C"/>
    <w:rsid w:val="00877F4A"/>
    <w:rsid w:val="00880D2F"/>
    <w:rsid w:val="00883398"/>
    <w:rsid w:val="00883946"/>
    <w:rsid w:val="00883CBC"/>
    <w:rsid w:val="00884E82"/>
    <w:rsid w:val="00885A7D"/>
    <w:rsid w:val="00891301"/>
    <w:rsid w:val="00891A08"/>
    <w:rsid w:val="00892060"/>
    <w:rsid w:val="00892FF4"/>
    <w:rsid w:val="00896FED"/>
    <w:rsid w:val="008973B0"/>
    <w:rsid w:val="008A2AF0"/>
    <w:rsid w:val="008A4157"/>
    <w:rsid w:val="008A5099"/>
    <w:rsid w:val="008A602F"/>
    <w:rsid w:val="008A7762"/>
    <w:rsid w:val="008B033F"/>
    <w:rsid w:val="008B0660"/>
    <w:rsid w:val="008B3A4F"/>
    <w:rsid w:val="008B48DC"/>
    <w:rsid w:val="008B6695"/>
    <w:rsid w:val="008B7A0A"/>
    <w:rsid w:val="008C0DC9"/>
    <w:rsid w:val="008C1ACA"/>
    <w:rsid w:val="008C2A83"/>
    <w:rsid w:val="008C6B10"/>
    <w:rsid w:val="008C7A1E"/>
    <w:rsid w:val="008D54D7"/>
    <w:rsid w:val="008D6009"/>
    <w:rsid w:val="008E212A"/>
    <w:rsid w:val="008E5460"/>
    <w:rsid w:val="008E598C"/>
    <w:rsid w:val="008E76CD"/>
    <w:rsid w:val="008E7A26"/>
    <w:rsid w:val="008F1A93"/>
    <w:rsid w:val="008F2BF3"/>
    <w:rsid w:val="008F3E4F"/>
    <w:rsid w:val="008F547C"/>
    <w:rsid w:val="008F6937"/>
    <w:rsid w:val="008F78EA"/>
    <w:rsid w:val="008F79E9"/>
    <w:rsid w:val="008F7C61"/>
    <w:rsid w:val="008F7F82"/>
    <w:rsid w:val="0090143F"/>
    <w:rsid w:val="00903BFF"/>
    <w:rsid w:val="00906E62"/>
    <w:rsid w:val="009070CA"/>
    <w:rsid w:val="00913395"/>
    <w:rsid w:val="009137D6"/>
    <w:rsid w:val="00914916"/>
    <w:rsid w:val="0091620E"/>
    <w:rsid w:val="00921140"/>
    <w:rsid w:val="009221BF"/>
    <w:rsid w:val="00922CCB"/>
    <w:rsid w:val="00923D31"/>
    <w:rsid w:val="00925D36"/>
    <w:rsid w:val="00930AB9"/>
    <w:rsid w:val="009337A6"/>
    <w:rsid w:val="00934542"/>
    <w:rsid w:val="00940A5E"/>
    <w:rsid w:val="00940B59"/>
    <w:rsid w:val="0094188E"/>
    <w:rsid w:val="00943856"/>
    <w:rsid w:val="0095003A"/>
    <w:rsid w:val="00950566"/>
    <w:rsid w:val="00950AC4"/>
    <w:rsid w:val="009522E9"/>
    <w:rsid w:val="00956A14"/>
    <w:rsid w:val="00956ADA"/>
    <w:rsid w:val="00957D13"/>
    <w:rsid w:val="00967A17"/>
    <w:rsid w:val="009708BE"/>
    <w:rsid w:val="009748E1"/>
    <w:rsid w:val="00975B28"/>
    <w:rsid w:val="00976384"/>
    <w:rsid w:val="009778C8"/>
    <w:rsid w:val="009805B9"/>
    <w:rsid w:val="00984D39"/>
    <w:rsid w:val="00985DAA"/>
    <w:rsid w:val="009863E4"/>
    <w:rsid w:val="00986A3B"/>
    <w:rsid w:val="009876E1"/>
    <w:rsid w:val="0099353B"/>
    <w:rsid w:val="009A05D9"/>
    <w:rsid w:val="009A28E3"/>
    <w:rsid w:val="009A6E3F"/>
    <w:rsid w:val="009B097E"/>
    <w:rsid w:val="009B438A"/>
    <w:rsid w:val="009C13B5"/>
    <w:rsid w:val="009C3590"/>
    <w:rsid w:val="009C4116"/>
    <w:rsid w:val="009C5CD8"/>
    <w:rsid w:val="009C5E84"/>
    <w:rsid w:val="009D340D"/>
    <w:rsid w:val="009D4885"/>
    <w:rsid w:val="009D51B2"/>
    <w:rsid w:val="009D5F13"/>
    <w:rsid w:val="009D703C"/>
    <w:rsid w:val="009E0249"/>
    <w:rsid w:val="009E077F"/>
    <w:rsid w:val="009E264F"/>
    <w:rsid w:val="009E4E8B"/>
    <w:rsid w:val="009E595A"/>
    <w:rsid w:val="009E78EB"/>
    <w:rsid w:val="009F0B7D"/>
    <w:rsid w:val="009F1868"/>
    <w:rsid w:val="009F40CE"/>
    <w:rsid w:val="009F4416"/>
    <w:rsid w:val="00A036A7"/>
    <w:rsid w:val="00A048B8"/>
    <w:rsid w:val="00A058D7"/>
    <w:rsid w:val="00A0731C"/>
    <w:rsid w:val="00A11899"/>
    <w:rsid w:val="00A136C4"/>
    <w:rsid w:val="00A14A3C"/>
    <w:rsid w:val="00A2179A"/>
    <w:rsid w:val="00A26C55"/>
    <w:rsid w:val="00A26E24"/>
    <w:rsid w:val="00A32177"/>
    <w:rsid w:val="00A34AF1"/>
    <w:rsid w:val="00A37D31"/>
    <w:rsid w:val="00A41ACE"/>
    <w:rsid w:val="00A42500"/>
    <w:rsid w:val="00A42653"/>
    <w:rsid w:val="00A426D2"/>
    <w:rsid w:val="00A4392F"/>
    <w:rsid w:val="00A4394E"/>
    <w:rsid w:val="00A43A36"/>
    <w:rsid w:val="00A50483"/>
    <w:rsid w:val="00A54F18"/>
    <w:rsid w:val="00A5516F"/>
    <w:rsid w:val="00A6189B"/>
    <w:rsid w:val="00A62B4F"/>
    <w:rsid w:val="00A65EBB"/>
    <w:rsid w:val="00A65F8F"/>
    <w:rsid w:val="00A6711B"/>
    <w:rsid w:val="00A72BC5"/>
    <w:rsid w:val="00A76342"/>
    <w:rsid w:val="00A814EF"/>
    <w:rsid w:val="00A94778"/>
    <w:rsid w:val="00AA104F"/>
    <w:rsid w:val="00AA1CED"/>
    <w:rsid w:val="00AA1EB9"/>
    <w:rsid w:val="00AA60A5"/>
    <w:rsid w:val="00AA7E69"/>
    <w:rsid w:val="00AB1917"/>
    <w:rsid w:val="00AB213B"/>
    <w:rsid w:val="00AB2336"/>
    <w:rsid w:val="00AB3BD2"/>
    <w:rsid w:val="00AB3EBF"/>
    <w:rsid w:val="00AB40AE"/>
    <w:rsid w:val="00AC0F8B"/>
    <w:rsid w:val="00AC109B"/>
    <w:rsid w:val="00AC29E8"/>
    <w:rsid w:val="00AC2A27"/>
    <w:rsid w:val="00AC2D9E"/>
    <w:rsid w:val="00AC4C5C"/>
    <w:rsid w:val="00AC5E96"/>
    <w:rsid w:val="00AD07FB"/>
    <w:rsid w:val="00AD1A22"/>
    <w:rsid w:val="00AD2080"/>
    <w:rsid w:val="00AD39E9"/>
    <w:rsid w:val="00AD5491"/>
    <w:rsid w:val="00AD57D7"/>
    <w:rsid w:val="00AD7074"/>
    <w:rsid w:val="00AE0582"/>
    <w:rsid w:val="00AE11D2"/>
    <w:rsid w:val="00AE3BAF"/>
    <w:rsid w:val="00AE6D1B"/>
    <w:rsid w:val="00AF0696"/>
    <w:rsid w:val="00AF5BA0"/>
    <w:rsid w:val="00AF5DF7"/>
    <w:rsid w:val="00AF7604"/>
    <w:rsid w:val="00B00BEC"/>
    <w:rsid w:val="00B00DC5"/>
    <w:rsid w:val="00B022BD"/>
    <w:rsid w:val="00B030F8"/>
    <w:rsid w:val="00B10E24"/>
    <w:rsid w:val="00B12160"/>
    <w:rsid w:val="00B14782"/>
    <w:rsid w:val="00B156A0"/>
    <w:rsid w:val="00B20214"/>
    <w:rsid w:val="00B22B81"/>
    <w:rsid w:val="00B26C98"/>
    <w:rsid w:val="00B27ECB"/>
    <w:rsid w:val="00B30031"/>
    <w:rsid w:val="00B315F9"/>
    <w:rsid w:val="00B31D8E"/>
    <w:rsid w:val="00B32A7C"/>
    <w:rsid w:val="00B35360"/>
    <w:rsid w:val="00B3673A"/>
    <w:rsid w:val="00B404CD"/>
    <w:rsid w:val="00B40ECE"/>
    <w:rsid w:val="00B42447"/>
    <w:rsid w:val="00B43985"/>
    <w:rsid w:val="00B43BFC"/>
    <w:rsid w:val="00B44765"/>
    <w:rsid w:val="00B452D6"/>
    <w:rsid w:val="00B466A9"/>
    <w:rsid w:val="00B469A7"/>
    <w:rsid w:val="00B524A9"/>
    <w:rsid w:val="00B55B7C"/>
    <w:rsid w:val="00B6032C"/>
    <w:rsid w:val="00B65CB6"/>
    <w:rsid w:val="00B66A78"/>
    <w:rsid w:val="00B7051B"/>
    <w:rsid w:val="00B714E2"/>
    <w:rsid w:val="00B716CC"/>
    <w:rsid w:val="00B71D5C"/>
    <w:rsid w:val="00B77A69"/>
    <w:rsid w:val="00B8311C"/>
    <w:rsid w:val="00B848A9"/>
    <w:rsid w:val="00B87A39"/>
    <w:rsid w:val="00B87FF6"/>
    <w:rsid w:val="00B9506F"/>
    <w:rsid w:val="00B9555D"/>
    <w:rsid w:val="00B9644F"/>
    <w:rsid w:val="00B9687A"/>
    <w:rsid w:val="00B97C71"/>
    <w:rsid w:val="00BA2DF8"/>
    <w:rsid w:val="00BA74FD"/>
    <w:rsid w:val="00BB4027"/>
    <w:rsid w:val="00BB4D00"/>
    <w:rsid w:val="00BB5FDD"/>
    <w:rsid w:val="00BB766F"/>
    <w:rsid w:val="00BB7DC3"/>
    <w:rsid w:val="00BC0699"/>
    <w:rsid w:val="00BC19F4"/>
    <w:rsid w:val="00BC2E04"/>
    <w:rsid w:val="00BC4554"/>
    <w:rsid w:val="00BC704A"/>
    <w:rsid w:val="00BD21D4"/>
    <w:rsid w:val="00BD263E"/>
    <w:rsid w:val="00BD2A92"/>
    <w:rsid w:val="00BD6586"/>
    <w:rsid w:val="00BE019F"/>
    <w:rsid w:val="00BE0AF2"/>
    <w:rsid w:val="00BE16C4"/>
    <w:rsid w:val="00BE1C24"/>
    <w:rsid w:val="00BE216B"/>
    <w:rsid w:val="00BE220E"/>
    <w:rsid w:val="00BE3DB6"/>
    <w:rsid w:val="00BE45D5"/>
    <w:rsid w:val="00BE551A"/>
    <w:rsid w:val="00BE60EB"/>
    <w:rsid w:val="00BE7815"/>
    <w:rsid w:val="00BF47CD"/>
    <w:rsid w:val="00BF51E9"/>
    <w:rsid w:val="00BF5D34"/>
    <w:rsid w:val="00BF66BC"/>
    <w:rsid w:val="00C01605"/>
    <w:rsid w:val="00C02CC3"/>
    <w:rsid w:val="00C04898"/>
    <w:rsid w:val="00C05C08"/>
    <w:rsid w:val="00C071CC"/>
    <w:rsid w:val="00C1087D"/>
    <w:rsid w:val="00C1344F"/>
    <w:rsid w:val="00C2081D"/>
    <w:rsid w:val="00C2195B"/>
    <w:rsid w:val="00C22469"/>
    <w:rsid w:val="00C22E88"/>
    <w:rsid w:val="00C23BD5"/>
    <w:rsid w:val="00C24095"/>
    <w:rsid w:val="00C263E3"/>
    <w:rsid w:val="00C264A8"/>
    <w:rsid w:val="00C27DE8"/>
    <w:rsid w:val="00C31163"/>
    <w:rsid w:val="00C31165"/>
    <w:rsid w:val="00C319DF"/>
    <w:rsid w:val="00C33428"/>
    <w:rsid w:val="00C33DF8"/>
    <w:rsid w:val="00C35D1A"/>
    <w:rsid w:val="00C360CD"/>
    <w:rsid w:val="00C407D8"/>
    <w:rsid w:val="00C422A7"/>
    <w:rsid w:val="00C426C4"/>
    <w:rsid w:val="00C42C91"/>
    <w:rsid w:val="00C444D3"/>
    <w:rsid w:val="00C45394"/>
    <w:rsid w:val="00C51596"/>
    <w:rsid w:val="00C54468"/>
    <w:rsid w:val="00C549AE"/>
    <w:rsid w:val="00C55514"/>
    <w:rsid w:val="00C60ED9"/>
    <w:rsid w:val="00C6175F"/>
    <w:rsid w:val="00C648DD"/>
    <w:rsid w:val="00C64FF0"/>
    <w:rsid w:val="00C66EAB"/>
    <w:rsid w:val="00C67907"/>
    <w:rsid w:val="00C67B82"/>
    <w:rsid w:val="00C725B1"/>
    <w:rsid w:val="00C72A36"/>
    <w:rsid w:val="00C73F7A"/>
    <w:rsid w:val="00C74744"/>
    <w:rsid w:val="00C74F85"/>
    <w:rsid w:val="00C75A1D"/>
    <w:rsid w:val="00C80E0D"/>
    <w:rsid w:val="00C82A07"/>
    <w:rsid w:val="00C83F1F"/>
    <w:rsid w:val="00C87492"/>
    <w:rsid w:val="00C90013"/>
    <w:rsid w:val="00C90ECE"/>
    <w:rsid w:val="00C94317"/>
    <w:rsid w:val="00C96E16"/>
    <w:rsid w:val="00CA3BDB"/>
    <w:rsid w:val="00CA6104"/>
    <w:rsid w:val="00CA6230"/>
    <w:rsid w:val="00CA67C7"/>
    <w:rsid w:val="00CB1016"/>
    <w:rsid w:val="00CB2467"/>
    <w:rsid w:val="00CB254F"/>
    <w:rsid w:val="00CB5D69"/>
    <w:rsid w:val="00CB5E6B"/>
    <w:rsid w:val="00CB74D2"/>
    <w:rsid w:val="00CC0200"/>
    <w:rsid w:val="00CC34D1"/>
    <w:rsid w:val="00CC714E"/>
    <w:rsid w:val="00CD539C"/>
    <w:rsid w:val="00CD5A57"/>
    <w:rsid w:val="00CD74D3"/>
    <w:rsid w:val="00CD7766"/>
    <w:rsid w:val="00CD7DC0"/>
    <w:rsid w:val="00CF133E"/>
    <w:rsid w:val="00CF2AFB"/>
    <w:rsid w:val="00CF2D8F"/>
    <w:rsid w:val="00CF665E"/>
    <w:rsid w:val="00D01E3A"/>
    <w:rsid w:val="00D03334"/>
    <w:rsid w:val="00D06376"/>
    <w:rsid w:val="00D06674"/>
    <w:rsid w:val="00D06717"/>
    <w:rsid w:val="00D0700A"/>
    <w:rsid w:val="00D07F46"/>
    <w:rsid w:val="00D1174E"/>
    <w:rsid w:val="00D125B5"/>
    <w:rsid w:val="00D12EED"/>
    <w:rsid w:val="00D14C55"/>
    <w:rsid w:val="00D14E5F"/>
    <w:rsid w:val="00D15D30"/>
    <w:rsid w:val="00D16D31"/>
    <w:rsid w:val="00D22A62"/>
    <w:rsid w:val="00D22FBF"/>
    <w:rsid w:val="00D23A6B"/>
    <w:rsid w:val="00D3000E"/>
    <w:rsid w:val="00D3471A"/>
    <w:rsid w:val="00D36880"/>
    <w:rsid w:val="00D36A15"/>
    <w:rsid w:val="00D41FCC"/>
    <w:rsid w:val="00D45C45"/>
    <w:rsid w:val="00D464AB"/>
    <w:rsid w:val="00D467E4"/>
    <w:rsid w:val="00D46B23"/>
    <w:rsid w:val="00D51E00"/>
    <w:rsid w:val="00D54F83"/>
    <w:rsid w:val="00D554F0"/>
    <w:rsid w:val="00D571A4"/>
    <w:rsid w:val="00D57496"/>
    <w:rsid w:val="00D57E7A"/>
    <w:rsid w:val="00D617A7"/>
    <w:rsid w:val="00D63800"/>
    <w:rsid w:val="00D63A34"/>
    <w:rsid w:val="00D6436B"/>
    <w:rsid w:val="00D65381"/>
    <w:rsid w:val="00D6609B"/>
    <w:rsid w:val="00D66A30"/>
    <w:rsid w:val="00D670AD"/>
    <w:rsid w:val="00D67D13"/>
    <w:rsid w:val="00D71CB0"/>
    <w:rsid w:val="00D721A1"/>
    <w:rsid w:val="00D74485"/>
    <w:rsid w:val="00D74AAA"/>
    <w:rsid w:val="00D81309"/>
    <w:rsid w:val="00D85BDD"/>
    <w:rsid w:val="00D867AA"/>
    <w:rsid w:val="00D9093A"/>
    <w:rsid w:val="00D93966"/>
    <w:rsid w:val="00DA1623"/>
    <w:rsid w:val="00DA36D2"/>
    <w:rsid w:val="00DA6207"/>
    <w:rsid w:val="00DA708E"/>
    <w:rsid w:val="00DA74F8"/>
    <w:rsid w:val="00DA7ED9"/>
    <w:rsid w:val="00DB1473"/>
    <w:rsid w:val="00DB1D65"/>
    <w:rsid w:val="00DC09EC"/>
    <w:rsid w:val="00DC315E"/>
    <w:rsid w:val="00DC79B3"/>
    <w:rsid w:val="00DD05E1"/>
    <w:rsid w:val="00DD1F59"/>
    <w:rsid w:val="00DD2033"/>
    <w:rsid w:val="00DD5E6D"/>
    <w:rsid w:val="00DD7CBE"/>
    <w:rsid w:val="00DD7DB2"/>
    <w:rsid w:val="00DE2477"/>
    <w:rsid w:val="00DE3CC9"/>
    <w:rsid w:val="00DE424B"/>
    <w:rsid w:val="00DE49C9"/>
    <w:rsid w:val="00DE6FC7"/>
    <w:rsid w:val="00DF0AD1"/>
    <w:rsid w:val="00DF5E3B"/>
    <w:rsid w:val="00DF6331"/>
    <w:rsid w:val="00DF6DED"/>
    <w:rsid w:val="00E0225F"/>
    <w:rsid w:val="00E0360F"/>
    <w:rsid w:val="00E04130"/>
    <w:rsid w:val="00E05AD9"/>
    <w:rsid w:val="00E10A98"/>
    <w:rsid w:val="00E11380"/>
    <w:rsid w:val="00E11D45"/>
    <w:rsid w:val="00E12485"/>
    <w:rsid w:val="00E1274C"/>
    <w:rsid w:val="00E13E8A"/>
    <w:rsid w:val="00E15D80"/>
    <w:rsid w:val="00E20B72"/>
    <w:rsid w:val="00E20D45"/>
    <w:rsid w:val="00E21F66"/>
    <w:rsid w:val="00E27495"/>
    <w:rsid w:val="00E2781B"/>
    <w:rsid w:val="00E32525"/>
    <w:rsid w:val="00E32918"/>
    <w:rsid w:val="00E34206"/>
    <w:rsid w:val="00E34A01"/>
    <w:rsid w:val="00E357F7"/>
    <w:rsid w:val="00E36BF3"/>
    <w:rsid w:val="00E444FF"/>
    <w:rsid w:val="00E50411"/>
    <w:rsid w:val="00E54ADA"/>
    <w:rsid w:val="00E60907"/>
    <w:rsid w:val="00E66AED"/>
    <w:rsid w:val="00E67605"/>
    <w:rsid w:val="00E74B22"/>
    <w:rsid w:val="00E74EFE"/>
    <w:rsid w:val="00E801DD"/>
    <w:rsid w:val="00E82BD1"/>
    <w:rsid w:val="00E84026"/>
    <w:rsid w:val="00E90754"/>
    <w:rsid w:val="00E91D6E"/>
    <w:rsid w:val="00E921E8"/>
    <w:rsid w:val="00E93002"/>
    <w:rsid w:val="00E93115"/>
    <w:rsid w:val="00E93BDA"/>
    <w:rsid w:val="00E94280"/>
    <w:rsid w:val="00E9646D"/>
    <w:rsid w:val="00E96823"/>
    <w:rsid w:val="00E97E4D"/>
    <w:rsid w:val="00E97FD2"/>
    <w:rsid w:val="00EA05FC"/>
    <w:rsid w:val="00EA160E"/>
    <w:rsid w:val="00EA1B5D"/>
    <w:rsid w:val="00EA5786"/>
    <w:rsid w:val="00EB0257"/>
    <w:rsid w:val="00EB2004"/>
    <w:rsid w:val="00EB31B1"/>
    <w:rsid w:val="00EB7725"/>
    <w:rsid w:val="00EB7914"/>
    <w:rsid w:val="00EC0185"/>
    <w:rsid w:val="00EC45B1"/>
    <w:rsid w:val="00EC5D17"/>
    <w:rsid w:val="00EC613C"/>
    <w:rsid w:val="00EC651D"/>
    <w:rsid w:val="00EC66A2"/>
    <w:rsid w:val="00EC7B92"/>
    <w:rsid w:val="00EC7ED4"/>
    <w:rsid w:val="00ED045A"/>
    <w:rsid w:val="00ED2753"/>
    <w:rsid w:val="00ED47EE"/>
    <w:rsid w:val="00EE2A06"/>
    <w:rsid w:val="00EE2B64"/>
    <w:rsid w:val="00EE2E84"/>
    <w:rsid w:val="00EF10A2"/>
    <w:rsid w:val="00EF1999"/>
    <w:rsid w:val="00EF3768"/>
    <w:rsid w:val="00EF75D6"/>
    <w:rsid w:val="00EF77AA"/>
    <w:rsid w:val="00EF7C68"/>
    <w:rsid w:val="00F00B0B"/>
    <w:rsid w:val="00F0105F"/>
    <w:rsid w:val="00F01D51"/>
    <w:rsid w:val="00F026FD"/>
    <w:rsid w:val="00F04EA1"/>
    <w:rsid w:val="00F06F60"/>
    <w:rsid w:val="00F076C7"/>
    <w:rsid w:val="00F14B8E"/>
    <w:rsid w:val="00F14C8B"/>
    <w:rsid w:val="00F27387"/>
    <w:rsid w:val="00F3048C"/>
    <w:rsid w:val="00F3189A"/>
    <w:rsid w:val="00F31EC2"/>
    <w:rsid w:val="00F331CE"/>
    <w:rsid w:val="00F3389D"/>
    <w:rsid w:val="00F33BF7"/>
    <w:rsid w:val="00F343B1"/>
    <w:rsid w:val="00F35558"/>
    <w:rsid w:val="00F3578C"/>
    <w:rsid w:val="00F3705F"/>
    <w:rsid w:val="00F42A6E"/>
    <w:rsid w:val="00F4520E"/>
    <w:rsid w:val="00F46BF7"/>
    <w:rsid w:val="00F4711D"/>
    <w:rsid w:val="00F479F6"/>
    <w:rsid w:val="00F5084D"/>
    <w:rsid w:val="00F51DBE"/>
    <w:rsid w:val="00F57FB9"/>
    <w:rsid w:val="00F6199F"/>
    <w:rsid w:val="00F61FD8"/>
    <w:rsid w:val="00F621AA"/>
    <w:rsid w:val="00F62874"/>
    <w:rsid w:val="00F62C73"/>
    <w:rsid w:val="00F6438C"/>
    <w:rsid w:val="00F644C1"/>
    <w:rsid w:val="00F656FF"/>
    <w:rsid w:val="00F6648F"/>
    <w:rsid w:val="00F67D85"/>
    <w:rsid w:val="00F72422"/>
    <w:rsid w:val="00F7296B"/>
    <w:rsid w:val="00F72C60"/>
    <w:rsid w:val="00F72E9A"/>
    <w:rsid w:val="00F73C70"/>
    <w:rsid w:val="00F747B3"/>
    <w:rsid w:val="00F747D1"/>
    <w:rsid w:val="00F7590C"/>
    <w:rsid w:val="00F775A8"/>
    <w:rsid w:val="00F778D9"/>
    <w:rsid w:val="00F8000C"/>
    <w:rsid w:val="00F803F7"/>
    <w:rsid w:val="00F80F5F"/>
    <w:rsid w:val="00F82DF2"/>
    <w:rsid w:val="00F8359A"/>
    <w:rsid w:val="00F844DA"/>
    <w:rsid w:val="00F923A1"/>
    <w:rsid w:val="00F94114"/>
    <w:rsid w:val="00F9448E"/>
    <w:rsid w:val="00F956BF"/>
    <w:rsid w:val="00F96AC5"/>
    <w:rsid w:val="00FA1CF7"/>
    <w:rsid w:val="00FA25B3"/>
    <w:rsid w:val="00FA3638"/>
    <w:rsid w:val="00FA3B97"/>
    <w:rsid w:val="00FA3BF6"/>
    <w:rsid w:val="00FA4165"/>
    <w:rsid w:val="00FA5169"/>
    <w:rsid w:val="00FA7DC1"/>
    <w:rsid w:val="00FB23B4"/>
    <w:rsid w:val="00FB3DC5"/>
    <w:rsid w:val="00FC08EC"/>
    <w:rsid w:val="00FC3420"/>
    <w:rsid w:val="00FC34B2"/>
    <w:rsid w:val="00FC3F03"/>
    <w:rsid w:val="00FC4E20"/>
    <w:rsid w:val="00FC5BA0"/>
    <w:rsid w:val="00FC6202"/>
    <w:rsid w:val="00FD09FB"/>
    <w:rsid w:val="00FD0F06"/>
    <w:rsid w:val="00FD1D27"/>
    <w:rsid w:val="00FD6185"/>
    <w:rsid w:val="00FD6A7D"/>
    <w:rsid w:val="00FD70CB"/>
    <w:rsid w:val="00FE0493"/>
    <w:rsid w:val="00FE342A"/>
    <w:rsid w:val="00FE4091"/>
    <w:rsid w:val="00FE4BBB"/>
    <w:rsid w:val="00FE5E37"/>
    <w:rsid w:val="00FF0F11"/>
    <w:rsid w:val="00FF19E1"/>
    <w:rsid w:val="00FF1F88"/>
    <w:rsid w:val="00FF261A"/>
    <w:rsid w:val="00FF2DB0"/>
    <w:rsid w:val="00FF2DE8"/>
    <w:rsid w:val="00FF6C57"/>
    <w:rsid w:val="00FF73D8"/>
    <w:rsid w:val="00FF7441"/>
  </w:rsids>
  <m:mathPr>
    <m:mathFont m:val="Cambria Math"/>
    <m:brkBin m:val="before"/>
    <m:brkBinSub m:val="--"/>
    <m:smallFrac m:val="0"/>
    <m:dispDef/>
    <m:lMargin m:val="0"/>
    <m:rMargin m:val="0"/>
    <m:defJc m:val="centerGroup"/>
    <m:wrapIndent m:val="1440"/>
    <m:intLim m:val="subSup"/>
    <m:naryLim m:val="undOvr"/>
  </m:mathPr>
  <w:themeFontLang w:val="tr-TR"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FA032C5"/>
  <w15:chartTrackingRefBased/>
  <w15:docId w15:val="{B0593B95-19DE-494A-88E8-2E676CDD05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Balk3">
    <w:name w:val="heading 3"/>
    <w:basedOn w:val="Normal"/>
    <w:next w:val="Normal"/>
    <w:link w:val="Balk3Char"/>
    <w:uiPriority w:val="9"/>
    <w:semiHidden/>
    <w:unhideWhenUsed/>
    <w:qFormat/>
    <w:rsid w:val="004C404D"/>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paragraph" w:styleId="ListeParagraf">
    <w:name w:val="List Paragraph"/>
    <w:basedOn w:val="Normal"/>
    <w:uiPriority w:val="34"/>
    <w:qFormat/>
    <w:rsid w:val="00DC09EC"/>
    <w:pPr>
      <w:ind w:left="720"/>
      <w:contextualSpacing/>
    </w:pPr>
  </w:style>
  <w:style w:type="paragraph" w:styleId="BalonMetni">
    <w:name w:val="Balloon Text"/>
    <w:basedOn w:val="Normal"/>
    <w:link w:val="BalonMetniChar"/>
    <w:uiPriority w:val="99"/>
    <w:semiHidden/>
    <w:unhideWhenUsed/>
    <w:rsid w:val="003B4D38"/>
    <w:pPr>
      <w:spacing w:after="0" w:line="240" w:lineRule="auto"/>
    </w:pPr>
    <w:rPr>
      <w:rFonts w:ascii="Segoe UI" w:hAnsi="Segoe UI" w:cs="Segoe UI"/>
      <w:sz w:val="18"/>
      <w:szCs w:val="18"/>
    </w:rPr>
  </w:style>
  <w:style w:type="character" w:customStyle="1" w:styleId="BalonMetniChar">
    <w:name w:val="Balon Metni Char"/>
    <w:basedOn w:val="VarsaylanParagrafYazTipi"/>
    <w:link w:val="BalonMetni"/>
    <w:uiPriority w:val="99"/>
    <w:semiHidden/>
    <w:rsid w:val="003B4D38"/>
    <w:rPr>
      <w:rFonts w:ascii="Segoe UI" w:hAnsi="Segoe UI" w:cs="Segoe UI"/>
      <w:sz w:val="18"/>
      <w:szCs w:val="18"/>
    </w:rPr>
  </w:style>
  <w:style w:type="table" w:styleId="TabloKlavuzu">
    <w:name w:val="Table Grid"/>
    <w:basedOn w:val="NormalTablo"/>
    <w:rsid w:val="002D559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SonNotMetni">
    <w:name w:val="endnote text"/>
    <w:basedOn w:val="Normal"/>
    <w:link w:val="SonNotMetniChar"/>
    <w:uiPriority w:val="99"/>
    <w:semiHidden/>
    <w:unhideWhenUsed/>
    <w:rsid w:val="0024179D"/>
    <w:pPr>
      <w:spacing w:after="0" w:line="240" w:lineRule="auto"/>
    </w:pPr>
    <w:rPr>
      <w:sz w:val="20"/>
      <w:szCs w:val="20"/>
    </w:rPr>
  </w:style>
  <w:style w:type="character" w:customStyle="1" w:styleId="SonNotMetniChar">
    <w:name w:val="Son Not Metni Char"/>
    <w:basedOn w:val="VarsaylanParagrafYazTipi"/>
    <w:link w:val="SonNotMetni"/>
    <w:uiPriority w:val="99"/>
    <w:semiHidden/>
    <w:rsid w:val="0024179D"/>
    <w:rPr>
      <w:sz w:val="20"/>
      <w:szCs w:val="20"/>
    </w:rPr>
  </w:style>
  <w:style w:type="character" w:styleId="SonNotBavurusu">
    <w:name w:val="endnote reference"/>
    <w:basedOn w:val="VarsaylanParagrafYazTipi"/>
    <w:uiPriority w:val="99"/>
    <w:semiHidden/>
    <w:unhideWhenUsed/>
    <w:rsid w:val="0024179D"/>
    <w:rPr>
      <w:vertAlign w:val="superscript"/>
    </w:rPr>
  </w:style>
  <w:style w:type="paragraph" w:styleId="stBilgi">
    <w:name w:val="header"/>
    <w:basedOn w:val="Normal"/>
    <w:link w:val="stBilgiChar"/>
    <w:uiPriority w:val="99"/>
    <w:unhideWhenUsed/>
    <w:rsid w:val="00615C2C"/>
    <w:pPr>
      <w:tabs>
        <w:tab w:val="center" w:pos="4536"/>
        <w:tab w:val="right" w:pos="9072"/>
      </w:tabs>
      <w:spacing w:after="0" w:line="240" w:lineRule="auto"/>
    </w:pPr>
  </w:style>
  <w:style w:type="character" w:customStyle="1" w:styleId="stBilgiChar">
    <w:name w:val="Üst Bilgi Char"/>
    <w:basedOn w:val="VarsaylanParagrafYazTipi"/>
    <w:link w:val="stBilgi"/>
    <w:uiPriority w:val="99"/>
    <w:rsid w:val="00615C2C"/>
  </w:style>
  <w:style w:type="paragraph" w:styleId="AltBilgi">
    <w:name w:val="footer"/>
    <w:basedOn w:val="Normal"/>
    <w:link w:val="AltBilgiChar"/>
    <w:uiPriority w:val="99"/>
    <w:unhideWhenUsed/>
    <w:rsid w:val="00615C2C"/>
    <w:pPr>
      <w:tabs>
        <w:tab w:val="center" w:pos="4536"/>
        <w:tab w:val="right" w:pos="9072"/>
      </w:tabs>
      <w:spacing w:after="0" w:line="240" w:lineRule="auto"/>
    </w:pPr>
  </w:style>
  <w:style w:type="character" w:customStyle="1" w:styleId="AltBilgiChar">
    <w:name w:val="Alt Bilgi Char"/>
    <w:basedOn w:val="VarsaylanParagrafYazTipi"/>
    <w:link w:val="AltBilgi"/>
    <w:uiPriority w:val="99"/>
    <w:rsid w:val="00615C2C"/>
  </w:style>
  <w:style w:type="paragraph" w:styleId="GvdeMetni2">
    <w:name w:val="Body Text 2"/>
    <w:basedOn w:val="Normal"/>
    <w:link w:val="GvdeMetni2Char"/>
    <w:rsid w:val="00CC34D1"/>
    <w:pPr>
      <w:spacing w:before="120" w:after="0" w:line="240" w:lineRule="auto"/>
      <w:jc w:val="center"/>
    </w:pPr>
    <w:rPr>
      <w:rFonts w:ascii="Arial Narrow" w:eastAsia="Times New Roman" w:hAnsi="Arial Narrow" w:cs="Times New Roman"/>
      <w:sz w:val="28"/>
      <w:szCs w:val="24"/>
      <w:lang w:eastAsia="tr-TR"/>
    </w:rPr>
  </w:style>
  <w:style w:type="character" w:customStyle="1" w:styleId="GvdeMetni2Char">
    <w:name w:val="Gövde Metni 2 Char"/>
    <w:basedOn w:val="VarsaylanParagrafYazTipi"/>
    <w:link w:val="GvdeMetni2"/>
    <w:rsid w:val="00CC34D1"/>
    <w:rPr>
      <w:rFonts w:ascii="Arial Narrow" w:eastAsia="Times New Roman" w:hAnsi="Arial Narrow" w:cs="Times New Roman"/>
      <w:sz w:val="28"/>
      <w:szCs w:val="24"/>
      <w:lang w:eastAsia="tr-TR"/>
    </w:rPr>
  </w:style>
  <w:style w:type="paragraph" w:styleId="GvdeMetni">
    <w:name w:val="Body Text"/>
    <w:basedOn w:val="Normal"/>
    <w:link w:val="GvdeMetniChar"/>
    <w:uiPriority w:val="99"/>
    <w:semiHidden/>
    <w:unhideWhenUsed/>
    <w:rsid w:val="00C82A07"/>
    <w:pPr>
      <w:spacing w:after="120"/>
    </w:pPr>
  </w:style>
  <w:style w:type="character" w:customStyle="1" w:styleId="GvdeMetniChar">
    <w:name w:val="Gövde Metni Char"/>
    <w:basedOn w:val="VarsaylanParagrafYazTipi"/>
    <w:link w:val="GvdeMetni"/>
    <w:uiPriority w:val="99"/>
    <w:semiHidden/>
    <w:rsid w:val="00C82A07"/>
  </w:style>
  <w:style w:type="character" w:styleId="YerTutucuMetni">
    <w:name w:val="Placeholder Text"/>
    <w:basedOn w:val="VarsaylanParagrafYazTipi"/>
    <w:uiPriority w:val="99"/>
    <w:semiHidden/>
    <w:rsid w:val="00DA36D2"/>
    <w:rPr>
      <w:color w:val="666666"/>
    </w:rPr>
  </w:style>
  <w:style w:type="character" w:customStyle="1" w:styleId="Balk3Char">
    <w:name w:val="Başlık 3 Char"/>
    <w:basedOn w:val="VarsaylanParagrafYazTipi"/>
    <w:link w:val="Balk3"/>
    <w:uiPriority w:val="9"/>
    <w:semiHidden/>
    <w:rsid w:val="004C404D"/>
    <w:rPr>
      <w:rFonts w:asciiTheme="majorHAnsi" w:eastAsiaTheme="majorEastAsia" w:hAnsiTheme="majorHAnsi" w:cstheme="majorBidi"/>
      <w:color w:val="1F4D78" w:themeColor="accent1" w:themeShade="7F"/>
      <w:sz w:val="24"/>
      <w:szCs w:val="24"/>
    </w:rPr>
  </w:style>
  <w:style w:type="paragraph" w:styleId="NormalWeb">
    <w:name w:val="Normal (Web)"/>
    <w:basedOn w:val="Normal"/>
    <w:uiPriority w:val="99"/>
    <w:semiHidden/>
    <w:unhideWhenUsed/>
    <w:rsid w:val="00B524A9"/>
    <w:rPr>
      <w:rFonts w:ascii="Times New Roman" w:hAnsi="Times New Roman" w:cs="Times New Roman"/>
      <w:sz w:val="24"/>
      <w:szCs w:val="24"/>
    </w:rPr>
  </w:style>
  <w:style w:type="character" w:styleId="AklamaBavurusu">
    <w:name w:val="annotation reference"/>
    <w:basedOn w:val="VarsaylanParagrafYazTipi"/>
    <w:uiPriority w:val="99"/>
    <w:semiHidden/>
    <w:unhideWhenUsed/>
    <w:rsid w:val="00F026FD"/>
    <w:rPr>
      <w:sz w:val="16"/>
      <w:szCs w:val="16"/>
    </w:rPr>
  </w:style>
  <w:style w:type="paragraph" w:styleId="AklamaMetni">
    <w:name w:val="annotation text"/>
    <w:basedOn w:val="Normal"/>
    <w:link w:val="AklamaMetniChar"/>
    <w:uiPriority w:val="99"/>
    <w:unhideWhenUsed/>
    <w:rsid w:val="00F026FD"/>
    <w:pPr>
      <w:spacing w:line="240" w:lineRule="auto"/>
    </w:pPr>
    <w:rPr>
      <w:sz w:val="20"/>
      <w:szCs w:val="20"/>
    </w:rPr>
  </w:style>
  <w:style w:type="character" w:customStyle="1" w:styleId="AklamaMetniChar">
    <w:name w:val="Açıklama Metni Char"/>
    <w:basedOn w:val="VarsaylanParagrafYazTipi"/>
    <w:link w:val="AklamaMetni"/>
    <w:uiPriority w:val="99"/>
    <w:rsid w:val="00F026FD"/>
    <w:rPr>
      <w:sz w:val="20"/>
      <w:szCs w:val="20"/>
    </w:rPr>
  </w:style>
  <w:style w:type="paragraph" w:styleId="AklamaKonusu">
    <w:name w:val="annotation subject"/>
    <w:basedOn w:val="AklamaMetni"/>
    <w:next w:val="AklamaMetni"/>
    <w:link w:val="AklamaKonusuChar"/>
    <w:uiPriority w:val="99"/>
    <w:semiHidden/>
    <w:unhideWhenUsed/>
    <w:rsid w:val="00F026FD"/>
    <w:rPr>
      <w:b/>
      <w:bCs/>
    </w:rPr>
  </w:style>
  <w:style w:type="character" w:customStyle="1" w:styleId="AklamaKonusuChar">
    <w:name w:val="Açıklama Konusu Char"/>
    <w:basedOn w:val="AklamaMetniChar"/>
    <w:link w:val="AklamaKonusu"/>
    <w:uiPriority w:val="99"/>
    <w:semiHidden/>
    <w:rsid w:val="00F026FD"/>
    <w:rPr>
      <w:b/>
      <w:bCs/>
      <w:sz w:val="20"/>
      <w:szCs w:val="20"/>
    </w:rPr>
  </w:style>
  <w:style w:type="character" w:styleId="Kpr">
    <w:name w:val="Hyperlink"/>
    <w:basedOn w:val="VarsaylanParagrafYazTipi"/>
    <w:uiPriority w:val="99"/>
    <w:unhideWhenUsed/>
    <w:rsid w:val="002F0522"/>
    <w:rPr>
      <w:color w:val="0563C1" w:themeColor="hyperlink"/>
      <w:u w:val="single"/>
    </w:rPr>
  </w:style>
  <w:style w:type="character" w:styleId="zmlenmeyenBahsetme">
    <w:name w:val="Unresolved Mention"/>
    <w:basedOn w:val="VarsaylanParagrafYazTipi"/>
    <w:uiPriority w:val="99"/>
    <w:semiHidden/>
    <w:unhideWhenUsed/>
    <w:rsid w:val="002F052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5609532">
      <w:bodyDiv w:val="1"/>
      <w:marLeft w:val="0"/>
      <w:marRight w:val="0"/>
      <w:marTop w:val="0"/>
      <w:marBottom w:val="0"/>
      <w:divBdr>
        <w:top w:val="none" w:sz="0" w:space="0" w:color="auto"/>
        <w:left w:val="none" w:sz="0" w:space="0" w:color="auto"/>
        <w:bottom w:val="none" w:sz="0" w:space="0" w:color="auto"/>
        <w:right w:val="none" w:sz="0" w:space="0" w:color="auto"/>
      </w:divBdr>
    </w:div>
    <w:div w:id="72944067">
      <w:bodyDiv w:val="1"/>
      <w:marLeft w:val="0"/>
      <w:marRight w:val="0"/>
      <w:marTop w:val="0"/>
      <w:marBottom w:val="0"/>
      <w:divBdr>
        <w:top w:val="none" w:sz="0" w:space="0" w:color="auto"/>
        <w:left w:val="none" w:sz="0" w:space="0" w:color="auto"/>
        <w:bottom w:val="none" w:sz="0" w:space="0" w:color="auto"/>
        <w:right w:val="none" w:sz="0" w:space="0" w:color="auto"/>
      </w:divBdr>
    </w:div>
    <w:div w:id="215941209">
      <w:bodyDiv w:val="1"/>
      <w:marLeft w:val="0"/>
      <w:marRight w:val="0"/>
      <w:marTop w:val="0"/>
      <w:marBottom w:val="0"/>
      <w:divBdr>
        <w:top w:val="none" w:sz="0" w:space="0" w:color="auto"/>
        <w:left w:val="none" w:sz="0" w:space="0" w:color="auto"/>
        <w:bottom w:val="none" w:sz="0" w:space="0" w:color="auto"/>
        <w:right w:val="none" w:sz="0" w:space="0" w:color="auto"/>
      </w:divBdr>
    </w:div>
    <w:div w:id="216013521">
      <w:bodyDiv w:val="1"/>
      <w:marLeft w:val="0"/>
      <w:marRight w:val="0"/>
      <w:marTop w:val="0"/>
      <w:marBottom w:val="0"/>
      <w:divBdr>
        <w:top w:val="none" w:sz="0" w:space="0" w:color="auto"/>
        <w:left w:val="none" w:sz="0" w:space="0" w:color="auto"/>
        <w:bottom w:val="none" w:sz="0" w:space="0" w:color="auto"/>
        <w:right w:val="none" w:sz="0" w:space="0" w:color="auto"/>
      </w:divBdr>
    </w:div>
    <w:div w:id="222645326">
      <w:bodyDiv w:val="1"/>
      <w:marLeft w:val="0"/>
      <w:marRight w:val="0"/>
      <w:marTop w:val="0"/>
      <w:marBottom w:val="0"/>
      <w:divBdr>
        <w:top w:val="none" w:sz="0" w:space="0" w:color="auto"/>
        <w:left w:val="none" w:sz="0" w:space="0" w:color="auto"/>
        <w:bottom w:val="none" w:sz="0" w:space="0" w:color="auto"/>
        <w:right w:val="none" w:sz="0" w:space="0" w:color="auto"/>
      </w:divBdr>
    </w:div>
    <w:div w:id="230314625">
      <w:bodyDiv w:val="1"/>
      <w:marLeft w:val="0"/>
      <w:marRight w:val="0"/>
      <w:marTop w:val="0"/>
      <w:marBottom w:val="0"/>
      <w:divBdr>
        <w:top w:val="none" w:sz="0" w:space="0" w:color="auto"/>
        <w:left w:val="none" w:sz="0" w:space="0" w:color="auto"/>
        <w:bottom w:val="none" w:sz="0" w:space="0" w:color="auto"/>
        <w:right w:val="none" w:sz="0" w:space="0" w:color="auto"/>
      </w:divBdr>
    </w:div>
    <w:div w:id="264965992">
      <w:bodyDiv w:val="1"/>
      <w:marLeft w:val="0"/>
      <w:marRight w:val="0"/>
      <w:marTop w:val="0"/>
      <w:marBottom w:val="0"/>
      <w:divBdr>
        <w:top w:val="none" w:sz="0" w:space="0" w:color="auto"/>
        <w:left w:val="none" w:sz="0" w:space="0" w:color="auto"/>
        <w:bottom w:val="none" w:sz="0" w:space="0" w:color="auto"/>
        <w:right w:val="none" w:sz="0" w:space="0" w:color="auto"/>
      </w:divBdr>
    </w:div>
    <w:div w:id="359360543">
      <w:bodyDiv w:val="1"/>
      <w:marLeft w:val="0"/>
      <w:marRight w:val="0"/>
      <w:marTop w:val="0"/>
      <w:marBottom w:val="0"/>
      <w:divBdr>
        <w:top w:val="none" w:sz="0" w:space="0" w:color="auto"/>
        <w:left w:val="none" w:sz="0" w:space="0" w:color="auto"/>
        <w:bottom w:val="none" w:sz="0" w:space="0" w:color="auto"/>
        <w:right w:val="none" w:sz="0" w:space="0" w:color="auto"/>
      </w:divBdr>
    </w:div>
    <w:div w:id="446239856">
      <w:bodyDiv w:val="1"/>
      <w:marLeft w:val="0"/>
      <w:marRight w:val="0"/>
      <w:marTop w:val="0"/>
      <w:marBottom w:val="0"/>
      <w:divBdr>
        <w:top w:val="none" w:sz="0" w:space="0" w:color="auto"/>
        <w:left w:val="none" w:sz="0" w:space="0" w:color="auto"/>
        <w:bottom w:val="none" w:sz="0" w:space="0" w:color="auto"/>
        <w:right w:val="none" w:sz="0" w:space="0" w:color="auto"/>
      </w:divBdr>
    </w:div>
    <w:div w:id="449668780">
      <w:bodyDiv w:val="1"/>
      <w:marLeft w:val="0"/>
      <w:marRight w:val="0"/>
      <w:marTop w:val="0"/>
      <w:marBottom w:val="0"/>
      <w:divBdr>
        <w:top w:val="none" w:sz="0" w:space="0" w:color="auto"/>
        <w:left w:val="none" w:sz="0" w:space="0" w:color="auto"/>
        <w:bottom w:val="none" w:sz="0" w:space="0" w:color="auto"/>
        <w:right w:val="none" w:sz="0" w:space="0" w:color="auto"/>
      </w:divBdr>
    </w:div>
    <w:div w:id="467283717">
      <w:bodyDiv w:val="1"/>
      <w:marLeft w:val="0"/>
      <w:marRight w:val="0"/>
      <w:marTop w:val="0"/>
      <w:marBottom w:val="0"/>
      <w:divBdr>
        <w:top w:val="none" w:sz="0" w:space="0" w:color="auto"/>
        <w:left w:val="none" w:sz="0" w:space="0" w:color="auto"/>
        <w:bottom w:val="none" w:sz="0" w:space="0" w:color="auto"/>
        <w:right w:val="none" w:sz="0" w:space="0" w:color="auto"/>
      </w:divBdr>
    </w:div>
    <w:div w:id="471487183">
      <w:bodyDiv w:val="1"/>
      <w:marLeft w:val="0"/>
      <w:marRight w:val="0"/>
      <w:marTop w:val="0"/>
      <w:marBottom w:val="0"/>
      <w:divBdr>
        <w:top w:val="none" w:sz="0" w:space="0" w:color="auto"/>
        <w:left w:val="none" w:sz="0" w:space="0" w:color="auto"/>
        <w:bottom w:val="none" w:sz="0" w:space="0" w:color="auto"/>
        <w:right w:val="none" w:sz="0" w:space="0" w:color="auto"/>
      </w:divBdr>
    </w:div>
    <w:div w:id="510800041">
      <w:bodyDiv w:val="1"/>
      <w:marLeft w:val="0"/>
      <w:marRight w:val="0"/>
      <w:marTop w:val="0"/>
      <w:marBottom w:val="0"/>
      <w:divBdr>
        <w:top w:val="none" w:sz="0" w:space="0" w:color="auto"/>
        <w:left w:val="none" w:sz="0" w:space="0" w:color="auto"/>
        <w:bottom w:val="none" w:sz="0" w:space="0" w:color="auto"/>
        <w:right w:val="none" w:sz="0" w:space="0" w:color="auto"/>
      </w:divBdr>
    </w:div>
    <w:div w:id="517043570">
      <w:bodyDiv w:val="1"/>
      <w:marLeft w:val="0"/>
      <w:marRight w:val="0"/>
      <w:marTop w:val="0"/>
      <w:marBottom w:val="0"/>
      <w:divBdr>
        <w:top w:val="none" w:sz="0" w:space="0" w:color="auto"/>
        <w:left w:val="none" w:sz="0" w:space="0" w:color="auto"/>
        <w:bottom w:val="none" w:sz="0" w:space="0" w:color="auto"/>
        <w:right w:val="none" w:sz="0" w:space="0" w:color="auto"/>
      </w:divBdr>
    </w:div>
    <w:div w:id="528683830">
      <w:bodyDiv w:val="1"/>
      <w:marLeft w:val="0"/>
      <w:marRight w:val="0"/>
      <w:marTop w:val="0"/>
      <w:marBottom w:val="0"/>
      <w:divBdr>
        <w:top w:val="none" w:sz="0" w:space="0" w:color="auto"/>
        <w:left w:val="none" w:sz="0" w:space="0" w:color="auto"/>
        <w:bottom w:val="none" w:sz="0" w:space="0" w:color="auto"/>
        <w:right w:val="none" w:sz="0" w:space="0" w:color="auto"/>
      </w:divBdr>
    </w:div>
    <w:div w:id="550503320">
      <w:bodyDiv w:val="1"/>
      <w:marLeft w:val="0"/>
      <w:marRight w:val="0"/>
      <w:marTop w:val="0"/>
      <w:marBottom w:val="0"/>
      <w:divBdr>
        <w:top w:val="none" w:sz="0" w:space="0" w:color="auto"/>
        <w:left w:val="none" w:sz="0" w:space="0" w:color="auto"/>
        <w:bottom w:val="none" w:sz="0" w:space="0" w:color="auto"/>
        <w:right w:val="none" w:sz="0" w:space="0" w:color="auto"/>
      </w:divBdr>
    </w:div>
    <w:div w:id="551502755">
      <w:bodyDiv w:val="1"/>
      <w:marLeft w:val="0"/>
      <w:marRight w:val="0"/>
      <w:marTop w:val="0"/>
      <w:marBottom w:val="0"/>
      <w:divBdr>
        <w:top w:val="none" w:sz="0" w:space="0" w:color="auto"/>
        <w:left w:val="none" w:sz="0" w:space="0" w:color="auto"/>
        <w:bottom w:val="none" w:sz="0" w:space="0" w:color="auto"/>
        <w:right w:val="none" w:sz="0" w:space="0" w:color="auto"/>
      </w:divBdr>
    </w:div>
    <w:div w:id="657539715">
      <w:bodyDiv w:val="1"/>
      <w:marLeft w:val="0"/>
      <w:marRight w:val="0"/>
      <w:marTop w:val="0"/>
      <w:marBottom w:val="0"/>
      <w:divBdr>
        <w:top w:val="none" w:sz="0" w:space="0" w:color="auto"/>
        <w:left w:val="none" w:sz="0" w:space="0" w:color="auto"/>
        <w:bottom w:val="none" w:sz="0" w:space="0" w:color="auto"/>
        <w:right w:val="none" w:sz="0" w:space="0" w:color="auto"/>
      </w:divBdr>
    </w:div>
    <w:div w:id="728112843">
      <w:bodyDiv w:val="1"/>
      <w:marLeft w:val="0"/>
      <w:marRight w:val="0"/>
      <w:marTop w:val="0"/>
      <w:marBottom w:val="0"/>
      <w:divBdr>
        <w:top w:val="none" w:sz="0" w:space="0" w:color="auto"/>
        <w:left w:val="none" w:sz="0" w:space="0" w:color="auto"/>
        <w:bottom w:val="none" w:sz="0" w:space="0" w:color="auto"/>
        <w:right w:val="none" w:sz="0" w:space="0" w:color="auto"/>
      </w:divBdr>
    </w:div>
    <w:div w:id="747112801">
      <w:bodyDiv w:val="1"/>
      <w:marLeft w:val="0"/>
      <w:marRight w:val="0"/>
      <w:marTop w:val="0"/>
      <w:marBottom w:val="0"/>
      <w:divBdr>
        <w:top w:val="none" w:sz="0" w:space="0" w:color="auto"/>
        <w:left w:val="none" w:sz="0" w:space="0" w:color="auto"/>
        <w:bottom w:val="none" w:sz="0" w:space="0" w:color="auto"/>
        <w:right w:val="none" w:sz="0" w:space="0" w:color="auto"/>
      </w:divBdr>
    </w:div>
    <w:div w:id="775293146">
      <w:bodyDiv w:val="1"/>
      <w:marLeft w:val="0"/>
      <w:marRight w:val="0"/>
      <w:marTop w:val="0"/>
      <w:marBottom w:val="0"/>
      <w:divBdr>
        <w:top w:val="none" w:sz="0" w:space="0" w:color="auto"/>
        <w:left w:val="none" w:sz="0" w:space="0" w:color="auto"/>
        <w:bottom w:val="none" w:sz="0" w:space="0" w:color="auto"/>
        <w:right w:val="none" w:sz="0" w:space="0" w:color="auto"/>
      </w:divBdr>
    </w:div>
    <w:div w:id="844563055">
      <w:bodyDiv w:val="1"/>
      <w:marLeft w:val="0"/>
      <w:marRight w:val="0"/>
      <w:marTop w:val="0"/>
      <w:marBottom w:val="0"/>
      <w:divBdr>
        <w:top w:val="none" w:sz="0" w:space="0" w:color="auto"/>
        <w:left w:val="none" w:sz="0" w:space="0" w:color="auto"/>
        <w:bottom w:val="none" w:sz="0" w:space="0" w:color="auto"/>
        <w:right w:val="none" w:sz="0" w:space="0" w:color="auto"/>
      </w:divBdr>
    </w:div>
    <w:div w:id="851646063">
      <w:bodyDiv w:val="1"/>
      <w:marLeft w:val="0"/>
      <w:marRight w:val="0"/>
      <w:marTop w:val="0"/>
      <w:marBottom w:val="0"/>
      <w:divBdr>
        <w:top w:val="none" w:sz="0" w:space="0" w:color="auto"/>
        <w:left w:val="none" w:sz="0" w:space="0" w:color="auto"/>
        <w:bottom w:val="none" w:sz="0" w:space="0" w:color="auto"/>
        <w:right w:val="none" w:sz="0" w:space="0" w:color="auto"/>
      </w:divBdr>
    </w:div>
    <w:div w:id="865563111">
      <w:bodyDiv w:val="1"/>
      <w:marLeft w:val="0"/>
      <w:marRight w:val="0"/>
      <w:marTop w:val="0"/>
      <w:marBottom w:val="0"/>
      <w:divBdr>
        <w:top w:val="none" w:sz="0" w:space="0" w:color="auto"/>
        <w:left w:val="none" w:sz="0" w:space="0" w:color="auto"/>
        <w:bottom w:val="none" w:sz="0" w:space="0" w:color="auto"/>
        <w:right w:val="none" w:sz="0" w:space="0" w:color="auto"/>
      </w:divBdr>
    </w:div>
    <w:div w:id="866791398">
      <w:bodyDiv w:val="1"/>
      <w:marLeft w:val="0"/>
      <w:marRight w:val="0"/>
      <w:marTop w:val="0"/>
      <w:marBottom w:val="0"/>
      <w:divBdr>
        <w:top w:val="none" w:sz="0" w:space="0" w:color="auto"/>
        <w:left w:val="none" w:sz="0" w:space="0" w:color="auto"/>
        <w:bottom w:val="none" w:sz="0" w:space="0" w:color="auto"/>
        <w:right w:val="none" w:sz="0" w:space="0" w:color="auto"/>
      </w:divBdr>
    </w:div>
    <w:div w:id="926766917">
      <w:bodyDiv w:val="1"/>
      <w:marLeft w:val="0"/>
      <w:marRight w:val="0"/>
      <w:marTop w:val="0"/>
      <w:marBottom w:val="0"/>
      <w:divBdr>
        <w:top w:val="none" w:sz="0" w:space="0" w:color="auto"/>
        <w:left w:val="none" w:sz="0" w:space="0" w:color="auto"/>
        <w:bottom w:val="none" w:sz="0" w:space="0" w:color="auto"/>
        <w:right w:val="none" w:sz="0" w:space="0" w:color="auto"/>
      </w:divBdr>
    </w:div>
    <w:div w:id="967510254">
      <w:bodyDiv w:val="1"/>
      <w:marLeft w:val="0"/>
      <w:marRight w:val="0"/>
      <w:marTop w:val="0"/>
      <w:marBottom w:val="0"/>
      <w:divBdr>
        <w:top w:val="none" w:sz="0" w:space="0" w:color="auto"/>
        <w:left w:val="none" w:sz="0" w:space="0" w:color="auto"/>
        <w:bottom w:val="none" w:sz="0" w:space="0" w:color="auto"/>
        <w:right w:val="none" w:sz="0" w:space="0" w:color="auto"/>
      </w:divBdr>
    </w:div>
    <w:div w:id="980378843">
      <w:bodyDiv w:val="1"/>
      <w:marLeft w:val="0"/>
      <w:marRight w:val="0"/>
      <w:marTop w:val="0"/>
      <w:marBottom w:val="0"/>
      <w:divBdr>
        <w:top w:val="none" w:sz="0" w:space="0" w:color="auto"/>
        <w:left w:val="none" w:sz="0" w:space="0" w:color="auto"/>
        <w:bottom w:val="none" w:sz="0" w:space="0" w:color="auto"/>
        <w:right w:val="none" w:sz="0" w:space="0" w:color="auto"/>
      </w:divBdr>
    </w:div>
    <w:div w:id="1001935572">
      <w:bodyDiv w:val="1"/>
      <w:marLeft w:val="0"/>
      <w:marRight w:val="0"/>
      <w:marTop w:val="0"/>
      <w:marBottom w:val="0"/>
      <w:divBdr>
        <w:top w:val="none" w:sz="0" w:space="0" w:color="auto"/>
        <w:left w:val="none" w:sz="0" w:space="0" w:color="auto"/>
        <w:bottom w:val="none" w:sz="0" w:space="0" w:color="auto"/>
        <w:right w:val="none" w:sz="0" w:space="0" w:color="auto"/>
      </w:divBdr>
    </w:div>
    <w:div w:id="1008212499">
      <w:bodyDiv w:val="1"/>
      <w:marLeft w:val="0"/>
      <w:marRight w:val="0"/>
      <w:marTop w:val="0"/>
      <w:marBottom w:val="0"/>
      <w:divBdr>
        <w:top w:val="none" w:sz="0" w:space="0" w:color="auto"/>
        <w:left w:val="none" w:sz="0" w:space="0" w:color="auto"/>
        <w:bottom w:val="none" w:sz="0" w:space="0" w:color="auto"/>
        <w:right w:val="none" w:sz="0" w:space="0" w:color="auto"/>
      </w:divBdr>
    </w:div>
    <w:div w:id="1054694686">
      <w:bodyDiv w:val="1"/>
      <w:marLeft w:val="0"/>
      <w:marRight w:val="0"/>
      <w:marTop w:val="0"/>
      <w:marBottom w:val="0"/>
      <w:divBdr>
        <w:top w:val="none" w:sz="0" w:space="0" w:color="auto"/>
        <w:left w:val="none" w:sz="0" w:space="0" w:color="auto"/>
        <w:bottom w:val="none" w:sz="0" w:space="0" w:color="auto"/>
        <w:right w:val="none" w:sz="0" w:space="0" w:color="auto"/>
      </w:divBdr>
    </w:div>
    <w:div w:id="1096167781">
      <w:bodyDiv w:val="1"/>
      <w:marLeft w:val="0"/>
      <w:marRight w:val="0"/>
      <w:marTop w:val="0"/>
      <w:marBottom w:val="0"/>
      <w:divBdr>
        <w:top w:val="none" w:sz="0" w:space="0" w:color="auto"/>
        <w:left w:val="none" w:sz="0" w:space="0" w:color="auto"/>
        <w:bottom w:val="none" w:sz="0" w:space="0" w:color="auto"/>
        <w:right w:val="none" w:sz="0" w:space="0" w:color="auto"/>
      </w:divBdr>
    </w:div>
    <w:div w:id="1103844588">
      <w:bodyDiv w:val="1"/>
      <w:marLeft w:val="0"/>
      <w:marRight w:val="0"/>
      <w:marTop w:val="0"/>
      <w:marBottom w:val="0"/>
      <w:divBdr>
        <w:top w:val="none" w:sz="0" w:space="0" w:color="auto"/>
        <w:left w:val="none" w:sz="0" w:space="0" w:color="auto"/>
        <w:bottom w:val="none" w:sz="0" w:space="0" w:color="auto"/>
        <w:right w:val="none" w:sz="0" w:space="0" w:color="auto"/>
      </w:divBdr>
    </w:div>
    <w:div w:id="1149520512">
      <w:bodyDiv w:val="1"/>
      <w:marLeft w:val="0"/>
      <w:marRight w:val="0"/>
      <w:marTop w:val="0"/>
      <w:marBottom w:val="0"/>
      <w:divBdr>
        <w:top w:val="none" w:sz="0" w:space="0" w:color="auto"/>
        <w:left w:val="none" w:sz="0" w:space="0" w:color="auto"/>
        <w:bottom w:val="none" w:sz="0" w:space="0" w:color="auto"/>
        <w:right w:val="none" w:sz="0" w:space="0" w:color="auto"/>
      </w:divBdr>
    </w:div>
    <w:div w:id="1159732639">
      <w:bodyDiv w:val="1"/>
      <w:marLeft w:val="0"/>
      <w:marRight w:val="0"/>
      <w:marTop w:val="0"/>
      <w:marBottom w:val="0"/>
      <w:divBdr>
        <w:top w:val="none" w:sz="0" w:space="0" w:color="auto"/>
        <w:left w:val="none" w:sz="0" w:space="0" w:color="auto"/>
        <w:bottom w:val="none" w:sz="0" w:space="0" w:color="auto"/>
        <w:right w:val="none" w:sz="0" w:space="0" w:color="auto"/>
      </w:divBdr>
    </w:div>
    <w:div w:id="1181775985">
      <w:bodyDiv w:val="1"/>
      <w:marLeft w:val="0"/>
      <w:marRight w:val="0"/>
      <w:marTop w:val="0"/>
      <w:marBottom w:val="0"/>
      <w:divBdr>
        <w:top w:val="none" w:sz="0" w:space="0" w:color="auto"/>
        <w:left w:val="none" w:sz="0" w:space="0" w:color="auto"/>
        <w:bottom w:val="none" w:sz="0" w:space="0" w:color="auto"/>
        <w:right w:val="none" w:sz="0" w:space="0" w:color="auto"/>
      </w:divBdr>
    </w:div>
    <w:div w:id="1205169238">
      <w:bodyDiv w:val="1"/>
      <w:marLeft w:val="0"/>
      <w:marRight w:val="0"/>
      <w:marTop w:val="0"/>
      <w:marBottom w:val="0"/>
      <w:divBdr>
        <w:top w:val="none" w:sz="0" w:space="0" w:color="auto"/>
        <w:left w:val="none" w:sz="0" w:space="0" w:color="auto"/>
        <w:bottom w:val="none" w:sz="0" w:space="0" w:color="auto"/>
        <w:right w:val="none" w:sz="0" w:space="0" w:color="auto"/>
      </w:divBdr>
    </w:div>
    <w:div w:id="1214347332">
      <w:bodyDiv w:val="1"/>
      <w:marLeft w:val="0"/>
      <w:marRight w:val="0"/>
      <w:marTop w:val="0"/>
      <w:marBottom w:val="0"/>
      <w:divBdr>
        <w:top w:val="none" w:sz="0" w:space="0" w:color="auto"/>
        <w:left w:val="none" w:sz="0" w:space="0" w:color="auto"/>
        <w:bottom w:val="none" w:sz="0" w:space="0" w:color="auto"/>
        <w:right w:val="none" w:sz="0" w:space="0" w:color="auto"/>
      </w:divBdr>
    </w:div>
    <w:div w:id="1220089047">
      <w:bodyDiv w:val="1"/>
      <w:marLeft w:val="0"/>
      <w:marRight w:val="0"/>
      <w:marTop w:val="0"/>
      <w:marBottom w:val="0"/>
      <w:divBdr>
        <w:top w:val="none" w:sz="0" w:space="0" w:color="auto"/>
        <w:left w:val="none" w:sz="0" w:space="0" w:color="auto"/>
        <w:bottom w:val="none" w:sz="0" w:space="0" w:color="auto"/>
        <w:right w:val="none" w:sz="0" w:space="0" w:color="auto"/>
      </w:divBdr>
    </w:div>
    <w:div w:id="1253277066">
      <w:bodyDiv w:val="1"/>
      <w:marLeft w:val="0"/>
      <w:marRight w:val="0"/>
      <w:marTop w:val="0"/>
      <w:marBottom w:val="0"/>
      <w:divBdr>
        <w:top w:val="none" w:sz="0" w:space="0" w:color="auto"/>
        <w:left w:val="none" w:sz="0" w:space="0" w:color="auto"/>
        <w:bottom w:val="none" w:sz="0" w:space="0" w:color="auto"/>
        <w:right w:val="none" w:sz="0" w:space="0" w:color="auto"/>
      </w:divBdr>
    </w:div>
    <w:div w:id="1264845073">
      <w:bodyDiv w:val="1"/>
      <w:marLeft w:val="0"/>
      <w:marRight w:val="0"/>
      <w:marTop w:val="0"/>
      <w:marBottom w:val="0"/>
      <w:divBdr>
        <w:top w:val="none" w:sz="0" w:space="0" w:color="auto"/>
        <w:left w:val="none" w:sz="0" w:space="0" w:color="auto"/>
        <w:bottom w:val="none" w:sz="0" w:space="0" w:color="auto"/>
        <w:right w:val="none" w:sz="0" w:space="0" w:color="auto"/>
      </w:divBdr>
    </w:div>
    <w:div w:id="1318992692">
      <w:bodyDiv w:val="1"/>
      <w:marLeft w:val="0"/>
      <w:marRight w:val="0"/>
      <w:marTop w:val="0"/>
      <w:marBottom w:val="0"/>
      <w:divBdr>
        <w:top w:val="none" w:sz="0" w:space="0" w:color="auto"/>
        <w:left w:val="none" w:sz="0" w:space="0" w:color="auto"/>
        <w:bottom w:val="none" w:sz="0" w:space="0" w:color="auto"/>
        <w:right w:val="none" w:sz="0" w:space="0" w:color="auto"/>
      </w:divBdr>
    </w:div>
    <w:div w:id="1324091137">
      <w:bodyDiv w:val="1"/>
      <w:marLeft w:val="0"/>
      <w:marRight w:val="0"/>
      <w:marTop w:val="0"/>
      <w:marBottom w:val="0"/>
      <w:divBdr>
        <w:top w:val="none" w:sz="0" w:space="0" w:color="auto"/>
        <w:left w:val="none" w:sz="0" w:space="0" w:color="auto"/>
        <w:bottom w:val="none" w:sz="0" w:space="0" w:color="auto"/>
        <w:right w:val="none" w:sz="0" w:space="0" w:color="auto"/>
      </w:divBdr>
    </w:div>
    <w:div w:id="1357926430">
      <w:bodyDiv w:val="1"/>
      <w:marLeft w:val="0"/>
      <w:marRight w:val="0"/>
      <w:marTop w:val="0"/>
      <w:marBottom w:val="0"/>
      <w:divBdr>
        <w:top w:val="none" w:sz="0" w:space="0" w:color="auto"/>
        <w:left w:val="none" w:sz="0" w:space="0" w:color="auto"/>
        <w:bottom w:val="none" w:sz="0" w:space="0" w:color="auto"/>
        <w:right w:val="none" w:sz="0" w:space="0" w:color="auto"/>
      </w:divBdr>
    </w:div>
    <w:div w:id="1358854255">
      <w:bodyDiv w:val="1"/>
      <w:marLeft w:val="0"/>
      <w:marRight w:val="0"/>
      <w:marTop w:val="0"/>
      <w:marBottom w:val="0"/>
      <w:divBdr>
        <w:top w:val="none" w:sz="0" w:space="0" w:color="auto"/>
        <w:left w:val="none" w:sz="0" w:space="0" w:color="auto"/>
        <w:bottom w:val="none" w:sz="0" w:space="0" w:color="auto"/>
        <w:right w:val="none" w:sz="0" w:space="0" w:color="auto"/>
      </w:divBdr>
    </w:div>
    <w:div w:id="1388067341">
      <w:bodyDiv w:val="1"/>
      <w:marLeft w:val="0"/>
      <w:marRight w:val="0"/>
      <w:marTop w:val="0"/>
      <w:marBottom w:val="0"/>
      <w:divBdr>
        <w:top w:val="none" w:sz="0" w:space="0" w:color="auto"/>
        <w:left w:val="none" w:sz="0" w:space="0" w:color="auto"/>
        <w:bottom w:val="none" w:sz="0" w:space="0" w:color="auto"/>
        <w:right w:val="none" w:sz="0" w:space="0" w:color="auto"/>
      </w:divBdr>
    </w:div>
    <w:div w:id="1390422103">
      <w:bodyDiv w:val="1"/>
      <w:marLeft w:val="0"/>
      <w:marRight w:val="0"/>
      <w:marTop w:val="0"/>
      <w:marBottom w:val="0"/>
      <w:divBdr>
        <w:top w:val="none" w:sz="0" w:space="0" w:color="auto"/>
        <w:left w:val="none" w:sz="0" w:space="0" w:color="auto"/>
        <w:bottom w:val="none" w:sz="0" w:space="0" w:color="auto"/>
        <w:right w:val="none" w:sz="0" w:space="0" w:color="auto"/>
      </w:divBdr>
    </w:div>
    <w:div w:id="1391424609">
      <w:bodyDiv w:val="1"/>
      <w:marLeft w:val="0"/>
      <w:marRight w:val="0"/>
      <w:marTop w:val="0"/>
      <w:marBottom w:val="0"/>
      <w:divBdr>
        <w:top w:val="none" w:sz="0" w:space="0" w:color="auto"/>
        <w:left w:val="none" w:sz="0" w:space="0" w:color="auto"/>
        <w:bottom w:val="none" w:sz="0" w:space="0" w:color="auto"/>
        <w:right w:val="none" w:sz="0" w:space="0" w:color="auto"/>
      </w:divBdr>
    </w:div>
    <w:div w:id="1430002153">
      <w:bodyDiv w:val="1"/>
      <w:marLeft w:val="0"/>
      <w:marRight w:val="0"/>
      <w:marTop w:val="0"/>
      <w:marBottom w:val="0"/>
      <w:divBdr>
        <w:top w:val="none" w:sz="0" w:space="0" w:color="auto"/>
        <w:left w:val="none" w:sz="0" w:space="0" w:color="auto"/>
        <w:bottom w:val="none" w:sz="0" w:space="0" w:color="auto"/>
        <w:right w:val="none" w:sz="0" w:space="0" w:color="auto"/>
      </w:divBdr>
    </w:div>
    <w:div w:id="1514344249">
      <w:bodyDiv w:val="1"/>
      <w:marLeft w:val="0"/>
      <w:marRight w:val="0"/>
      <w:marTop w:val="0"/>
      <w:marBottom w:val="0"/>
      <w:divBdr>
        <w:top w:val="none" w:sz="0" w:space="0" w:color="auto"/>
        <w:left w:val="none" w:sz="0" w:space="0" w:color="auto"/>
        <w:bottom w:val="none" w:sz="0" w:space="0" w:color="auto"/>
        <w:right w:val="none" w:sz="0" w:space="0" w:color="auto"/>
      </w:divBdr>
    </w:div>
    <w:div w:id="1557011159">
      <w:bodyDiv w:val="1"/>
      <w:marLeft w:val="0"/>
      <w:marRight w:val="0"/>
      <w:marTop w:val="0"/>
      <w:marBottom w:val="0"/>
      <w:divBdr>
        <w:top w:val="none" w:sz="0" w:space="0" w:color="auto"/>
        <w:left w:val="none" w:sz="0" w:space="0" w:color="auto"/>
        <w:bottom w:val="none" w:sz="0" w:space="0" w:color="auto"/>
        <w:right w:val="none" w:sz="0" w:space="0" w:color="auto"/>
      </w:divBdr>
    </w:div>
    <w:div w:id="1560439317">
      <w:bodyDiv w:val="1"/>
      <w:marLeft w:val="0"/>
      <w:marRight w:val="0"/>
      <w:marTop w:val="0"/>
      <w:marBottom w:val="0"/>
      <w:divBdr>
        <w:top w:val="none" w:sz="0" w:space="0" w:color="auto"/>
        <w:left w:val="none" w:sz="0" w:space="0" w:color="auto"/>
        <w:bottom w:val="none" w:sz="0" w:space="0" w:color="auto"/>
        <w:right w:val="none" w:sz="0" w:space="0" w:color="auto"/>
      </w:divBdr>
    </w:div>
    <w:div w:id="1572470983">
      <w:bodyDiv w:val="1"/>
      <w:marLeft w:val="0"/>
      <w:marRight w:val="0"/>
      <w:marTop w:val="0"/>
      <w:marBottom w:val="0"/>
      <w:divBdr>
        <w:top w:val="none" w:sz="0" w:space="0" w:color="auto"/>
        <w:left w:val="none" w:sz="0" w:space="0" w:color="auto"/>
        <w:bottom w:val="none" w:sz="0" w:space="0" w:color="auto"/>
        <w:right w:val="none" w:sz="0" w:space="0" w:color="auto"/>
      </w:divBdr>
    </w:div>
    <w:div w:id="1577476527">
      <w:bodyDiv w:val="1"/>
      <w:marLeft w:val="0"/>
      <w:marRight w:val="0"/>
      <w:marTop w:val="0"/>
      <w:marBottom w:val="0"/>
      <w:divBdr>
        <w:top w:val="none" w:sz="0" w:space="0" w:color="auto"/>
        <w:left w:val="none" w:sz="0" w:space="0" w:color="auto"/>
        <w:bottom w:val="none" w:sz="0" w:space="0" w:color="auto"/>
        <w:right w:val="none" w:sz="0" w:space="0" w:color="auto"/>
      </w:divBdr>
    </w:div>
    <w:div w:id="1592809491">
      <w:bodyDiv w:val="1"/>
      <w:marLeft w:val="0"/>
      <w:marRight w:val="0"/>
      <w:marTop w:val="0"/>
      <w:marBottom w:val="0"/>
      <w:divBdr>
        <w:top w:val="none" w:sz="0" w:space="0" w:color="auto"/>
        <w:left w:val="none" w:sz="0" w:space="0" w:color="auto"/>
        <w:bottom w:val="none" w:sz="0" w:space="0" w:color="auto"/>
        <w:right w:val="none" w:sz="0" w:space="0" w:color="auto"/>
      </w:divBdr>
    </w:div>
    <w:div w:id="1620261684">
      <w:bodyDiv w:val="1"/>
      <w:marLeft w:val="0"/>
      <w:marRight w:val="0"/>
      <w:marTop w:val="0"/>
      <w:marBottom w:val="0"/>
      <w:divBdr>
        <w:top w:val="none" w:sz="0" w:space="0" w:color="auto"/>
        <w:left w:val="none" w:sz="0" w:space="0" w:color="auto"/>
        <w:bottom w:val="none" w:sz="0" w:space="0" w:color="auto"/>
        <w:right w:val="none" w:sz="0" w:space="0" w:color="auto"/>
      </w:divBdr>
    </w:div>
    <w:div w:id="1624995044">
      <w:bodyDiv w:val="1"/>
      <w:marLeft w:val="0"/>
      <w:marRight w:val="0"/>
      <w:marTop w:val="0"/>
      <w:marBottom w:val="0"/>
      <w:divBdr>
        <w:top w:val="none" w:sz="0" w:space="0" w:color="auto"/>
        <w:left w:val="none" w:sz="0" w:space="0" w:color="auto"/>
        <w:bottom w:val="none" w:sz="0" w:space="0" w:color="auto"/>
        <w:right w:val="none" w:sz="0" w:space="0" w:color="auto"/>
      </w:divBdr>
    </w:div>
    <w:div w:id="1634796748">
      <w:bodyDiv w:val="1"/>
      <w:marLeft w:val="0"/>
      <w:marRight w:val="0"/>
      <w:marTop w:val="0"/>
      <w:marBottom w:val="0"/>
      <w:divBdr>
        <w:top w:val="none" w:sz="0" w:space="0" w:color="auto"/>
        <w:left w:val="none" w:sz="0" w:space="0" w:color="auto"/>
        <w:bottom w:val="none" w:sz="0" w:space="0" w:color="auto"/>
        <w:right w:val="none" w:sz="0" w:space="0" w:color="auto"/>
      </w:divBdr>
    </w:div>
    <w:div w:id="1658342066">
      <w:bodyDiv w:val="1"/>
      <w:marLeft w:val="0"/>
      <w:marRight w:val="0"/>
      <w:marTop w:val="0"/>
      <w:marBottom w:val="0"/>
      <w:divBdr>
        <w:top w:val="none" w:sz="0" w:space="0" w:color="auto"/>
        <w:left w:val="none" w:sz="0" w:space="0" w:color="auto"/>
        <w:bottom w:val="none" w:sz="0" w:space="0" w:color="auto"/>
        <w:right w:val="none" w:sz="0" w:space="0" w:color="auto"/>
      </w:divBdr>
    </w:div>
    <w:div w:id="1681620288">
      <w:bodyDiv w:val="1"/>
      <w:marLeft w:val="0"/>
      <w:marRight w:val="0"/>
      <w:marTop w:val="0"/>
      <w:marBottom w:val="0"/>
      <w:divBdr>
        <w:top w:val="none" w:sz="0" w:space="0" w:color="auto"/>
        <w:left w:val="none" w:sz="0" w:space="0" w:color="auto"/>
        <w:bottom w:val="none" w:sz="0" w:space="0" w:color="auto"/>
        <w:right w:val="none" w:sz="0" w:space="0" w:color="auto"/>
      </w:divBdr>
    </w:div>
    <w:div w:id="1760128327">
      <w:bodyDiv w:val="1"/>
      <w:marLeft w:val="0"/>
      <w:marRight w:val="0"/>
      <w:marTop w:val="0"/>
      <w:marBottom w:val="0"/>
      <w:divBdr>
        <w:top w:val="none" w:sz="0" w:space="0" w:color="auto"/>
        <w:left w:val="none" w:sz="0" w:space="0" w:color="auto"/>
        <w:bottom w:val="none" w:sz="0" w:space="0" w:color="auto"/>
        <w:right w:val="none" w:sz="0" w:space="0" w:color="auto"/>
      </w:divBdr>
    </w:div>
    <w:div w:id="1846553256">
      <w:bodyDiv w:val="1"/>
      <w:marLeft w:val="0"/>
      <w:marRight w:val="0"/>
      <w:marTop w:val="0"/>
      <w:marBottom w:val="0"/>
      <w:divBdr>
        <w:top w:val="none" w:sz="0" w:space="0" w:color="auto"/>
        <w:left w:val="none" w:sz="0" w:space="0" w:color="auto"/>
        <w:bottom w:val="none" w:sz="0" w:space="0" w:color="auto"/>
        <w:right w:val="none" w:sz="0" w:space="0" w:color="auto"/>
      </w:divBdr>
    </w:div>
    <w:div w:id="1863978919">
      <w:bodyDiv w:val="1"/>
      <w:marLeft w:val="0"/>
      <w:marRight w:val="0"/>
      <w:marTop w:val="0"/>
      <w:marBottom w:val="0"/>
      <w:divBdr>
        <w:top w:val="none" w:sz="0" w:space="0" w:color="auto"/>
        <w:left w:val="none" w:sz="0" w:space="0" w:color="auto"/>
        <w:bottom w:val="none" w:sz="0" w:space="0" w:color="auto"/>
        <w:right w:val="none" w:sz="0" w:space="0" w:color="auto"/>
      </w:divBdr>
    </w:div>
    <w:div w:id="1874461254">
      <w:bodyDiv w:val="1"/>
      <w:marLeft w:val="0"/>
      <w:marRight w:val="0"/>
      <w:marTop w:val="0"/>
      <w:marBottom w:val="0"/>
      <w:divBdr>
        <w:top w:val="none" w:sz="0" w:space="0" w:color="auto"/>
        <w:left w:val="none" w:sz="0" w:space="0" w:color="auto"/>
        <w:bottom w:val="none" w:sz="0" w:space="0" w:color="auto"/>
        <w:right w:val="none" w:sz="0" w:space="0" w:color="auto"/>
      </w:divBdr>
    </w:div>
    <w:div w:id="1923295174">
      <w:bodyDiv w:val="1"/>
      <w:marLeft w:val="0"/>
      <w:marRight w:val="0"/>
      <w:marTop w:val="0"/>
      <w:marBottom w:val="0"/>
      <w:divBdr>
        <w:top w:val="none" w:sz="0" w:space="0" w:color="auto"/>
        <w:left w:val="none" w:sz="0" w:space="0" w:color="auto"/>
        <w:bottom w:val="none" w:sz="0" w:space="0" w:color="auto"/>
        <w:right w:val="none" w:sz="0" w:space="0" w:color="auto"/>
      </w:divBdr>
    </w:div>
    <w:div w:id="1924103635">
      <w:bodyDiv w:val="1"/>
      <w:marLeft w:val="0"/>
      <w:marRight w:val="0"/>
      <w:marTop w:val="0"/>
      <w:marBottom w:val="0"/>
      <w:divBdr>
        <w:top w:val="none" w:sz="0" w:space="0" w:color="auto"/>
        <w:left w:val="none" w:sz="0" w:space="0" w:color="auto"/>
        <w:bottom w:val="none" w:sz="0" w:space="0" w:color="auto"/>
        <w:right w:val="none" w:sz="0" w:space="0" w:color="auto"/>
      </w:divBdr>
    </w:div>
    <w:div w:id="1990017117">
      <w:bodyDiv w:val="1"/>
      <w:marLeft w:val="0"/>
      <w:marRight w:val="0"/>
      <w:marTop w:val="0"/>
      <w:marBottom w:val="0"/>
      <w:divBdr>
        <w:top w:val="none" w:sz="0" w:space="0" w:color="auto"/>
        <w:left w:val="none" w:sz="0" w:space="0" w:color="auto"/>
        <w:bottom w:val="none" w:sz="0" w:space="0" w:color="auto"/>
        <w:right w:val="none" w:sz="0" w:space="0" w:color="auto"/>
      </w:divBdr>
    </w:div>
    <w:div w:id="2014910362">
      <w:bodyDiv w:val="1"/>
      <w:marLeft w:val="0"/>
      <w:marRight w:val="0"/>
      <w:marTop w:val="0"/>
      <w:marBottom w:val="0"/>
      <w:divBdr>
        <w:top w:val="none" w:sz="0" w:space="0" w:color="auto"/>
        <w:left w:val="none" w:sz="0" w:space="0" w:color="auto"/>
        <w:bottom w:val="none" w:sz="0" w:space="0" w:color="auto"/>
        <w:right w:val="none" w:sz="0" w:space="0" w:color="auto"/>
      </w:divBdr>
    </w:div>
    <w:div w:id="2057460367">
      <w:bodyDiv w:val="1"/>
      <w:marLeft w:val="0"/>
      <w:marRight w:val="0"/>
      <w:marTop w:val="0"/>
      <w:marBottom w:val="0"/>
      <w:divBdr>
        <w:top w:val="none" w:sz="0" w:space="0" w:color="auto"/>
        <w:left w:val="none" w:sz="0" w:space="0" w:color="auto"/>
        <w:bottom w:val="none" w:sz="0" w:space="0" w:color="auto"/>
        <w:right w:val="none" w:sz="0" w:space="0" w:color="auto"/>
      </w:divBdr>
    </w:div>
    <w:div w:id="2079470449">
      <w:bodyDiv w:val="1"/>
      <w:marLeft w:val="0"/>
      <w:marRight w:val="0"/>
      <w:marTop w:val="0"/>
      <w:marBottom w:val="0"/>
      <w:divBdr>
        <w:top w:val="none" w:sz="0" w:space="0" w:color="auto"/>
        <w:left w:val="none" w:sz="0" w:space="0" w:color="auto"/>
        <w:bottom w:val="none" w:sz="0" w:space="0" w:color="auto"/>
        <w:right w:val="none" w:sz="0" w:space="0" w:color="auto"/>
      </w:divBdr>
    </w:div>
    <w:div w:id="212395927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2.xml"/><Relationship Id="rId18" Type="http://schemas.openxmlformats.org/officeDocument/2006/relationships/theme" Target="theme/theme1.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oter" Target="footer1.xml"/><Relationship Id="rId17" Type="http://schemas.openxmlformats.org/officeDocument/2006/relationships/glossaryDocument" Target="glossary/document.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2.xml"/><Relationship Id="rId5" Type="http://schemas.openxmlformats.org/officeDocument/2006/relationships/settings" Target="settings.xml"/><Relationship Id="rId15" Type="http://schemas.openxmlformats.org/officeDocument/2006/relationships/footer" Target="footer3.xml"/><Relationship Id="rId10" Type="http://schemas.openxmlformats.org/officeDocument/2006/relationships/header" Target="header1.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header" Target="header3.xml"/><Relationship Id="sigAliKaan" Type="http://schemas.openxmlformats.org/officeDocument/2006/relationships/image" Target="media/sig_ali_kaan.png"/><Relationship Id="sigFatih" Type="http://schemas.openxmlformats.org/officeDocument/2006/relationships/image" Target="media/sig_fatih.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1854013440"/>
        <w:category>
          <w:name w:val="Genel"/>
          <w:gallery w:val="placeholder"/>
        </w:category>
        <w:types>
          <w:type w:val="bbPlcHdr"/>
        </w:types>
        <w:behaviors>
          <w:behavior w:val="content"/>
        </w:behaviors>
        <w:guid w:val="{1F56AAC9-B6F4-4C6C-BE65-649CD141F68B}"/>
      </w:docPartPr>
      <w:docPartBody>
        <w:p w:rsidR="00090E72" w:rsidRDefault="002C0CFE">
          <w:r w:rsidRPr="00F415EF">
            <w:rPr>
              <w:rStyle w:val="YerTutucuMetni"/>
            </w:rPr>
            <w:t>Metin girmek için buraya tıklayın veya dokunun.</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Narrow">
    <w:panose1 w:val="020B0606020202030204"/>
    <w:charset w:val="A2"/>
    <w:family w:val="swiss"/>
    <w:pitch w:val="variable"/>
    <w:sig w:usb0="00000287" w:usb1="00000800" w:usb2="00000000" w:usb3="00000000" w:csb0="000000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inkAnnotations="0"/>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C0CFE"/>
    <w:rsid w:val="00017CE9"/>
    <w:rsid w:val="00021CC0"/>
    <w:rsid w:val="00023095"/>
    <w:rsid w:val="000750D9"/>
    <w:rsid w:val="00081BA6"/>
    <w:rsid w:val="00090E72"/>
    <w:rsid w:val="00093C80"/>
    <w:rsid w:val="000A73BD"/>
    <w:rsid w:val="000B537F"/>
    <w:rsid w:val="000F7877"/>
    <w:rsid w:val="00107AB4"/>
    <w:rsid w:val="00143992"/>
    <w:rsid w:val="0019348A"/>
    <w:rsid w:val="001A3BD1"/>
    <w:rsid w:val="001B69EF"/>
    <w:rsid w:val="001D6AA6"/>
    <w:rsid w:val="001E4606"/>
    <w:rsid w:val="001F3854"/>
    <w:rsid w:val="00210C44"/>
    <w:rsid w:val="00223294"/>
    <w:rsid w:val="002501D2"/>
    <w:rsid w:val="0029660E"/>
    <w:rsid w:val="002A3CD9"/>
    <w:rsid w:val="002B68BC"/>
    <w:rsid w:val="002C0CFE"/>
    <w:rsid w:val="003215E4"/>
    <w:rsid w:val="00326869"/>
    <w:rsid w:val="003460DE"/>
    <w:rsid w:val="00373DD8"/>
    <w:rsid w:val="003C3209"/>
    <w:rsid w:val="003E7E7B"/>
    <w:rsid w:val="003F71E6"/>
    <w:rsid w:val="00447DA3"/>
    <w:rsid w:val="004513FC"/>
    <w:rsid w:val="00476AE3"/>
    <w:rsid w:val="00487653"/>
    <w:rsid w:val="0051052E"/>
    <w:rsid w:val="00515A45"/>
    <w:rsid w:val="00566A66"/>
    <w:rsid w:val="005B67CE"/>
    <w:rsid w:val="005D0442"/>
    <w:rsid w:val="00605F5D"/>
    <w:rsid w:val="00627B21"/>
    <w:rsid w:val="00641B2A"/>
    <w:rsid w:val="006454F2"/>
    <w:rsid w:val="006837A2"/>
    <w:rsid w:val="006A6FC4"/>
    <w:rsid w:val="006E4058"/>
    <w:rsid w:val="0070693E"/>
    <w:rsid w:val="0071643F"/>
    <w:rsid w:val="00722FD3"/>
    <w:rsid w:val="00747B30"/>
    <w:rsid w:val="007554B4"/>
    <w:rsid w:val="00762455"/>
    <w:rsid w:val="007F5D6A"/>
    <w:rsid w:val="00866CF5"/>
    <w:rsid w:val="00895B8F"/>
    <w:rsid w:val="008B6695"/>
    <w:rsid w:val="008C6B10"/>
    <w:rsid w:val="00920AE2"/>
    <w:rsid w:val="00925D36"/>
    <w:rsid w:val="00940B59"/>
    <w:rsid w:val="009708BE"/>
    <w:rsid w:val="00971BD1"/>
    <w:rsid w:val="009C56FE"/>
    <w:rsid w:val="009D703C"/>
    <w:rsid w:val="009E0249"/>
    <w:rsid w:val="00A137A2"/>
    <w:rsid w:val="00A54F18"/>
    <w:rsid w:val="00A72BC5"/>
    <w:rsid w:val="00AB40AE"/>
    <w:rsid w:val="00AC109B"/>
    <w:rsid w:val="00AD050C"/>
    <w:rsid w:val="00AD1A22"/>
    <w:rsid w:val="00AE1B01"/>
    <w:rsid w:val="00B43BFC"/>
    <w:rsid w:val="00B44765"/>
    <w:rsid w:val="00BB4027"/>
    <w:rsid w:val="00BB5FDD"/>
    <w:rsid w:val="00BC41C8"/>
    <w:rsid w:val="00BC4554"/>
    <w:rsid w:val="00BC704A"/>
    <w:rsid w:val="00BE216B"/>
    <w:rsid w:val="00BE220E"/>
    <w:rsid w:val="00BE5E22"/>
    <w:rsid w:val="00BF4729"/>
    <w:rsid w:val="00C05C08"/>
    <w:rsid w:val="00C33423"/>
    <w:rsid w:val="00C75A1D"/>
    <w:rsid w:val="00CB5E6B"/>
    <w:rsid w:val="00CF11C7"/>
    <w:rsid w:val="00CF7B31"/>
    <w:rsid w:val="00D45C45"/>
    <w:rsid w:val="00D65381"/>
    <w:rsid w:val="00DA7ED9"/>
    <w:rsid w:val="00DE2477"/>
    <w:rsid w:val="00DE424B"/>
    <w:rsid w:val="00DF337F"/>
    <w:rsid w:val="00E0225F"/>
    <w:rsid w:val="00E25F30"/>
    <w:rsid w:val="00E70200"/>
    <w:rsid w:val="00E96823"/>
    <w:rsid w:val="00ED47EE"/>
    <w:rsid w:val="00EE5E4F"/>
    <w:rsid w:val="00F5548F"/>
    <w:rsid w:val="00F72422"/>
    <w:rsid w:val="00F747B3"/>
    <w:rsid w:val="00FD787C"/>
    <w:rsid w:val="00FF15A4"/>
    <w:rsid w:val="00FF781C"/>
  </w:rsids>
  <m:mathPr>
    <m:mathFont m:val="Cambria Math"/>
    <m:brkBin m:val="before"/>
    <m:brkBinSub m:val="--"/>
    <m:smallFrac m:val="0"/>
    <m:dispDef/>
    <m:lMargin m:val="0"/>
    <m:rMargin m:val="0"/>
    <m:defJc m:val="centerGroup"/>
    <m:wrapIndent m:val="1440"/>
    <m:intLim m:val="subSup"/>
    <m:naryLim m:val="undOvr"/>
  </m:mathPr>
  <w:themeFontLang w:val="tr-TR"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tr-TR" w:eastAsia="tr-TR"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styleId="YerTutucuMetni">
    <w:name w:val="Placeholder Text"/>
    <w:basedOn w:val="VarsaylanParagrafYazTipi"/>
    <w:uiPriority w:val="99"/>
    <w:semiHidden/>
    <w:rsid w:val="002C0CFE"/>
    <w:rPr>
      <w:color w:val="666666"/>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GTBClassification>
  <attrValue xml:space="preserve">Secret\Gizli</attrValue>
  <customPropName>Classification</customPropName>
  <timestamp>16.01.2025 11:27:23</timestamp>
  <userName>System</userName>
  <computerName>ERYTRN053.EROGLUGYO.CORP</computerName>
  <guid>{0a211e8a-580c-4039-b284-14b7fb425500}</guid>
  <hdr>
    <r>
      <fontName>arial</fontName>
      <fontColor>000000</fontColor>
      <fontSize>8</fontSize>
      <b/>
      <text xml:space="preserve">Classification:</text>
    </r>
    <r>
      <fontName>arial</fontName>
      <fontColor>000000</fontColor>
      <fontSize>8</fontSize>
      <text xml:space="preserve"> </text>
    </r>
    <r>
      <fontName>arial</fontName>
      <fontColor>FF0000</fontColor>
      <fontSize>8</fontSize>
      <b/>
      <text xml:space="preserve">Secret\Gizli</text>
    </r>
  </hdr>
</GTBClassification>
</file>

<file path=customXml/itemProps1.xml><?xml version="1.0" encoding="utf-8"?>
<ds:datastoreItem xmlns:ds="http://schemas.openxmlformats.org/officeDocument/2006/customXml" ds:itemID="{3393B30C-C971-4599-AAA6-137CA7B058DD}">
  <ds:schemaRefs>
    <ds:schemaRef ds:uri="http://schemas.openxmlformats.org/officeDocument/2006/bibliography"/>
  </ds:schemaRefs>
</ds:datastoreItem>
</file>

<file path=customXml/itemProps2.xml><?xml version="1.0" encoding="utf-8"?>
<ds:datastoreItem xmlns:ds="http://schemas.openxmlformats.org/officeDocument/2006/customXml" ds:itemID="{07AAF223-007F-49D6-9D3A-C194D3F78A8F}">
  <ds:schemaRefs/>
</ds:datastoreItem>
</file>

<file path=docProps/app.xml><?xml version="1.0" encoding="utf-8"?>
<Properties xmlns="http://schemas.openxmlformats.org/officeDocument/2006/extended-properties" xmlns:vt="http://schemas.openxmlformats.org/officeDocument/2006/docPropsVTypes">
  <Template>Normal</Template>
  <TotalTime>11</TotalTime>
  <Pages>1</Pages>
  <Words>557</Words>
  <Characters>3180</Characters>
  <Application>Microsoft Office Word</Application>
  <DocSecurity>0</DocSecurity>
  <Lines>26</Lines>
  <Paragraphs>7</Paragraphs>
  <ScaleCrop>false</ScaleCrop>
  <HeadingPairs>
    <vt:vector size="4" baseType="variant">
      <vt:variant>
        <vt:lpstr>Title</vt:lpstr>
      </vt:variant>
      <vt:variant>
        <vt:i4>1</vt:i4>
      </vt:variant>
      <vt:variant>
        <vt:lpstr>Konu Başlığı</vt:lpstr>
      </vt:variant>
      <vt:variant>
        <vt:i4>1</vt:i4>
      </vt:variant>
    </vt:vector>
  </HeadingPairs>
  <TitlesOfParts>
    <vt:vector size="2" baseType="lpstr">
      <vt:lpstr/>
      <vt:lpstr/>
    </vt:vector>
  </TitlesOfParts>
  <Company/>
  <LinksUpToDate>false</LinksUpToDate>
  <CharactersWithSpaces>3730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subject/>
  <dc:creator>RAHMI ATAS</dc:creator>
  <cp:keywords>ClassificationData:&lt;Classification:Secret\Gizli&gt;</cp:keywords>
  <dc:description/>
  <cp:lastModifiedBy>ABDULLAH BAYDOGAN</cp:lastModifiedBy>
  <cp:revision>13</cp:revision>
  <cp:lastPrinted>2025-01-16T06:13:00Z</cp:lastPrinted>
  <dcterms:created xsi:type="dcterms:W3CDTF">2025-05-06T12:45:00Z</dcterms:created>
  <dcterms:modified xsi:type="dcterms:W3CDTF">2026-10-02T10:32:00Z</dcterms:modified>
  <dc:title>EMS.YS.PRO.11.04. RISKS AND OPPORTUNITIES PROCEDURE</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a331a5016237bbbc68ad32e9f299290299ee2fc121fe21f0ecbb0b000498c241</vt:lpwstr>
  </property>
  <property fmtid="{D5CDD505-2E9C-101B-9397-08002B2CF9AE}" pid="3" name="Classification">
    <vt:lpwstr>Secret\Gizli</vt:lpwstr>
  </property>
  <property fmtid="{D5CDD505-2E9C-101B-9397-08002B2CF9AE}" pid="4" name="ClassifiedBy">
    <vt:lpwstr>System</vt:lpwstr>
  </property>
  <property fmtid="{D5CDD505-2E9C-101B-9397-08002B2CF9AE}" pid="5" name="ClassificationHost">
    <vt:lpwstr>ERYTRN053.EROGLUGYO.CORP</vt:lpwstr>
  </property>
  <property fmtid="{D5CDD505-2E9C-101B-9397-08002B2CF9AE}" pid="6" name="ClassificationDate">
    <vt:lpwstr>16.01.2025 11:27:23</vt:lpwstr>
  </property>
  <property fmtid="{D5CDD505-2E9C-101B-9397-08002B2CF9AE}" pid="7" name="ClassificationGUID">
    <vt:lpwstr>{0a211e8a-580c-4039-b284-14b7fb425500}</vt:lpwstr>
  </property>
</Properties>
</file>