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the top management of Eroglu Knitting (EMS) reviews the integrated management system at planned intervals to ensure its continuing suitability, adequacy, effectiveness and alignment with the strategic direction of the Company, in line with ISO 9001:2015 clause 9.3, ISO 14001:2015 clause 9.3 and ISO 45001:2018 clause 9.3.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the planning, inputs, conduct, outputs and follow-up of management review meetings for quality, environment, occupational health and safety, social compliance, chemical management, sustainability and supply chain security, including the spinning, knitting, dyehouse and garment operations.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Chairs the management review, takes decisions and allocates the resources needed.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Management System Representative (Quality Assurance Manager):</w:t>
      </w:r>
      <w:r>
        <w:rPr>
          <w:rFonts w:ascii="Calibri" w:hAnsi="Calibri" w:cs="Arial"/>
          <w:sz w:val="24"/>
          <w:szCs w:val="24"/>
        </w:rPr>
        <w:t xml:space="preserve"> Plans the meeting, collects and consolidates the inputs, prepares the minutes and follows up the decisions.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Prepare and present the performance data of their areas and implement the decisions assigned to them.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Human Resources:</w:t>
      </w:r>
      <w:r>
        <w:rPr>
          <w:rFonts w:ascii="Calibri" w:hAnsi="Calibri" w:cs="Arial"/>
          <w:sz w:val="24"/>
          <w:szCs w:val="24"/>
        </w:rPr>
        <w:t xml:space="preserve"> Provides training, competence and employee satisfaction data.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Sales and Marketing:</w:t>
      </w:r>
      <w:r>
        <w:rPr>
          <w:rFonts w:ascii="Calibri" w:hAnsi="Calibri" w:cs="Arial"/>
          <w:sz w:val="24"/>
          <w:szCs w:val="24"/>
        </w:rPr>
        <w:t xml:space="preserve"> Provides customer feedback and satisfaction data.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w:t>
      </w:r>
      <w:r>
        <w:rPr>
          <w:rFonts w:ascii="Calibri" w:hAnsi="Calibri" w:cs="Arial"/>
          <w:sz w:val="24"/>
          <w:szCs w:val="24"/>
        </w:rPr>
        <w:t xml:space="preserve"> Provides supplier performance data.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Worker Representatives / OHS Committee:</w:t>
      </w:r>
      <w:r>
        <w:rPr>
          <w:rFonts w:ascii="Calibri" w:hAnsi="Calibri" w:cs="Arial"/>
          <w:sz w:val="24"/>
          <w:szCs w:val="24"/>
        </w:rPr>
        <w:t xml:space="preserve"> Provide employee feedback and OHS consultation results as inputs to the review.</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Management Review:</w:t>
      </w:r>
      <w:r>
        <w:rPr>
          <w:rFonts w:ascii="Calibri" w:hAnsi="Calibri" w:cs="Arial"/>
          <w:sz w:val="24"/>
          <w:szCs w:val="24"/>
        </w:rPr>
        <w:t xml:space="preserve"> A formal, documented evaluation of the management system by top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Review Input:</w:t>
      </w:r>
      <w:r>
        <w:rPr>
          <w:rFonts w:ascii="Calibri" w:hAnsi="Calibri" w:cs="Arial"/>
          <w:sz w:val="24"/>
          <w:szCs w:val="24"/>
        </w:rPr>
        <w:t xml:space="preserve"> Information that must be considered during the review (performance, audit results, changes, resources, risks).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Review Output:</w:t>
      </w:r>
      <w:r>
        <w:rPr>
          <w:rFonts w:ascii="Calibri" w:hAnsi="Calibri" w:cs="Arial"/>
          <w:sz w:val="24"/>
          <w:szCs w:val="24"/>
        </w:rPr>
        <w:t xml:space="preserve"> Decisions and actions resulting from the review, related to improvement, changes to the system and resource needs.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Objective:</w:t>
      </w:r>
      <w:r>
        <w:rPr>
          <w:rFonts w:ascii="Calibri" w:hAnsi="Calibri" w:cs="Arial"/>
          <w:sz w:val="24"/>
          <w:szCs w:val="24"/>
        </w:rPr>
        <w:t xml:space="preserve"> A measurable objective consistent with the policy, which is monitored.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Action:</w:t>
      </w:r>
      <w:r>
        <w:rPr>
          <w:rFonts w:ascii="Calibri" w:hAnsi="Calibri" w:cs="Arial"/>
          <w:sz w:val="24"/>
          <w:szCs w:val="24"/>
        </w:rPr>
        <w:t xml:space="preserve"> An activity with a responsible person and a deadline assigned in the meeting.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PLANNING</w:t>
      </w:r>
    </w:p>
    <w:p>
      <w:pPr>
        <w:pStyle w:val="ListeParagraf"/>
        <w:spacing w:after="80"/>
        <w:ind w:left="709" w:right="0"/>
        <w:jc w:val="both"/>
      </w:pPr>
      <w:r>
        <w:rPr>
          <w:rFonts w:ascii="Calibri" w:hAnsi="Calibri" w:cs="Arial"/>
          <w:sz w:val="24"/>
          <w:szCs w:val="24"/>
        </w:rPr>
        <w:t xml:space="preserve">1.1. Management review is held at least once a year, normally in the first quarter, and additionally when a significant change, major incident or serious customer or certification finding occurs. Where customers or certification require, the review is held every six months.</w:t>
      </w:r>
    </w:p>
    <w:p>
      <w:pPr>
        <w:pStyle w:val="ListeParagraf"/>
        <w:spacing w:after="80"/>
        <w:ind w:left="709" w:right="0"/>
        <w:jc w:val="both"/>
      </w:pPr>
      <w:r>
        <w:rPr>
          <w:rFonts w:ascii="Calibri" w:hAnsi="Calibri" w:cs="Arial"/>
          <w:sz w:val="24"/>
          <w:szCs w:val="24"/>
        </w:rPr>
        <w:t xml:space="preserve">1.2. The Management System Representative issues the meeting plan and the input template to department managers at least three weeks before the meeting.</w:t>
      </w:r>
    </w:p>
    <w:p>
      <w:pPr>
        <w:pStyle w:val="ListeParagraf"/>
        <w:spacing w:after="80"/>
        <w:ind w:left="709" w:right="0"/>
        <w:jc w:val="both"/>
      </w:pPr>
      <w:r>
        <w:rPr>
          <w:rFonts w:ascii="Calibri" w:hAnsi="Calibri" w:cs="Arial"/>
          <w:sz w:val="24"/>
          <w:szCs w:val="24"/>
        </w:rPr>
        <w:t xml:space="preserve">1.3. Participants include the General Manager, the Management System Representative, the managers of production, dyehouse, quality, HR, HSE, CSR, purchasing, warehouse, maintenance and finance, and a worker representative for OHS and social topics. Attendance of top management is compulsory.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 INPUTS</w:t>
      </w:r>
    </w:p>
    <w:p>
      <w:pPr>
        <w:pStyle w:val="ListeParagraf"/>
        <w:spacing w:after="80"/>
        <w:ind w:left="709" w:right="0"/>
        <w:jc w:val="both"/>
      </w:pPr>
      <w:r>
        <w:rPr>
          <w:rFonts w:ascii="Calibri" w:hAnsi="Calibri" w:cs="Arial"/>
          <w:sz w:val="24"/>
          <w:szCs w:val="24"/>
        </w:rPr>
        <w:t xml:space="preserve">2.1. The review considers at least the following inputs:</w:t>
      </w:r>
    </w:p>
    <w:p>
      <w:pPr>
        <w:pStyle w:val="ListeParagraf"/>
        <w:numPr>
          <w:ilvl w:val="0"/>
          <w:numId w:val="1"/>
        </w:numPr>
        <w:spacing w:after="60"/>
        <w:jc w:val="both"/>
      </w:pPr>
      <w:r>
        <w:rPr>
          <w:rFonts w:ascii="Calibri" w:hAnsi="Calibri" w:cs="Arial"/>
          <w:sz w:val="24"/>
          <w:szCs w:val="24"/>
        </w:rPr>
        <w:t xml:space="preserve">Status of actions from previous management reviews,</w:t>
      </w:r>
    </w:p>
    <w:p>
      <w:pPr>
        <w:pStyle w:val="ListeParagraf"/>
        <w:numPr>
          <w:ilvl w:val="0"/>
          <w:numId w:val="1"/>
        </w:numPr>
        <w:spacing w:after="60"/>
        <w:jc w:val="both"/>
      </w:pPr>
      <w:r>
        <w:rPr>
          <w:rFonts w:ascii="Calibri" w:hAnsi="Calibri" w:cs="Arial"/>
          <w:sz w:val="24"/>
          <w:szCs w:val="24"/>
        </w:rPr>
        <w:t xml:space="preserve">Changes in internal and external issues, interested party requirements and compliance obligations,</w:t>
      </w:r>
    </w:p>
    <w:p>
      <w:pPr>
        <w:pStyle w:val="ListeParagraf"/>
        <w:numPr>
          <w:ilvl w:val="0"/>
          <w:numId w:val="1"/>
        </w:numPr>
        <w:spacing w:after="60"/>
        <w:jc w:val="both"/>
      </w:pPr>
      <w:r>
        <w:rPr>
          <w:rFonts w:ascii="Calibri" w:hAnsi="Calibri" w:cs="Arial"/>
          <w:sz w:val="24"/>
          <w:szCs w:val="24"/>
        </w:rPr>
        <w:t xml:space="preserve">Customer satisfaction, complaints and feedback from interested parties,</w:t>
      </w:r>
    </w:p>
    <w:p>
      <w:pPr>
        <w:pStyle w:val="ListeParagraf"/>
        <w:numPr>
          <w:ilvl w:val="0"/>
          <w:numId w:val="1"/>
        </w:numPr>
        <w:spacing w:after="60"/>
        <w:jc w:val="both"/>
      </w:pPr>
      <w:r>
        <w:rPr>
          <w:rFonts w:ascii="Calibri" w:hAnsi="Calibri" w:cs="Arial"/>
          <w:sz w:val="24"/>
          <w:szCs w:val="24"/>
        </w:rPr>
        <w:t xml:space="preserve">Achievement of quality, environmental, OHS and sustainability objectives and KPIs,</w:t>
      </w:r>
    </w:p>
    <w:p>
      <w:pPr>
        <w:pStyle w:val="ListeParagraf"/>
        <w:numPr>
          <w:ilvl w:val="0"/>
          <w:numId w:val="1"/>
        </w:numPr>
        <w:spacing w:after="60"/>
        <w:jc w:val="both"/>
      </w:pPr>
      <w:r>
        <w:rPr>
          <w:rFonts w:ascii="Calibri" w:hAnsi="Calibri" w:cs="Arial"/>
          <w:sz w:val="24"/>
          <w:szCs w:val="24"/>
        </w:rPr>
        <w:t xml:space="preserve">Process performance and product conformity (defect rates, AQL results, RSL test results),</w:t>
      </w:r>
    </w:p>
    <w:p>
      <w:pPr>
        <w:pStyle w:val="ListeParagraf"/>
        <w:numPr>
          <w:ilvl w:val="0"/>
          <w:numId w:val="1"/>
        </w:numPr>
        <w:spacing w:after="60"/>
        <w:jc w:val="both"/>
      </w:pPr>
      <w:r>
        <w:rPr>
          <w:rFonts w:ascii="Calibri" w:hAnsi="Calibri" w:cs="Arial"/>
          <w:sz w:val="24"/>
          <w:szCs w:val="24"/>
        </w:rPr>
        <w:t xml:space="preserve">Nonconformities, corrective actions, incidents and accidents, and the results of OHS consultation,</w:t>
      </w:r>
    </w:p>
    <w:p>
      <w:pPr>
        <w:pStyle w:val="ListeParagraf"/>
        <w:numPr>
          <w:ilvl w:val="0"/>
          <w:numId w:val="1"/>
        </w:numPr>
        <w:spacing w:after="60"/>
        <w:jc w:val="both"/>
      </w:pPr>
      <w:r>
        <w:rPr>
          <w:rFonts w:ascii="Calibri" w:hAnsi="Calibri" w:cs="Arial"/>
          <w:sz w:val="24"/>
          <w:szCs w:val="24"/>
        </w:rPr>
        <w:t xml:space="preserve">Results of internal audits, customer and social compliance audits and certification audits,</w:t>
      </w:r>
    </w:p>
    <w:p>
      <w:pPr>
        <w:pStyle w:val="ListeParagraf"/>
        <w:numPr>
          <w:ilvl w:val="0"/>
          <w:numId w:val="1"/>
        </w:numPr>
        <w:spacing w:after="60"/>
        <w:jc w:val="both"/>
      </w:pPr>
      <w:r>
        <w:rPr>
          <w:rFonts w:ascii="Calibri" w:hAnsi="Calibri" w:cs="Arial"/>
          <w:sz w:val="24"/>
          <w:szCs w:val="24"/>
        </w:rPr>
        <w:t xml:space="preserve">Environmental performance (energy, water, wastewater, waste, emissions, chemicals),</w:t>
      </w:r>
    </w:p>
    <w:p>
      <w:pPr>
        <w:pStyle w:val="ListeParagraf"/>
        <w:numPr>
          <w:ilvl w:val="0"/>
          <w:numId w:val="1"/>
        </w:numPr>
        <w:spacing w:after="60"/>
        <w:jc w:val="both"/>
      </w:pPr>
      <w:r>
        <w:rPr>
          <w:rFonts w:ascii="Calibri" w:hAnsi="Calibri" w:cs="Arial"/>
          <w:sz w:val="24"/>
          <w:szCs w:val="24"/>
        </w:rPr>
        <w:t xml:space="preserve">Performance of external providers and subcontractors,</w:t>
      </w:r>
    </w:p>
    <w:p>
      <w:pPr>
        <w:pStyle w:val="ListeParagraf"/>
        <w:numPr>
          <w:ilvl w:val="0"/>
          <w:numId w:val="1"/>
        </w:numPr>
        <w:spacing w:after="60"/>
        <w:jc w:val="both"/>
      </w:pPr>
      <w:r>
        <w:rPr>
          <w:rFonts w:ascii="Calibri" w:hAnsi="Calibri" w:cs="Arial"/>
          <w:sz w:val="24"/>
          <w:szCs w:val="24"/>
        </w:rPr>
        <w:t xml:space="preserve">Adequacy of resources, risks and opportunities and the effectiveness of related actions,</w:t>
      </w:r>
    </w:p>
    <w:p>
      <w:pPr>
        <w:pStyle w:val="ListeParagraf"/>
        <w:numPr>
          <w:ilvl w:val="0"/>
          <w:numId w:val="1"/>
        </w:numPr>
        <w:spacing w:after="60"/>
        <w:jc w:val="both"/>
      </w:pPr>
      <w:r>
        <w:rPr>
          <w:rFonts w:ascii="Calibri" w:hAnsi="Calibri" w:cs="Arial"/>
          <w:sz w:val="24"/>
          <w:szCs w:val="24"/>
        </w:rPr>
        <w:t xml:space="preserve">Opportunities for improvement.</w:t>
      </w:r>
    </w:p>
    <w:p>
      <w:pPr>
        <w:pStyle w:val="ListeParagraf"/>
        <w:spacing w:after="80"/>
        <w:ind w:left="709" w:right="0"/>
        <w:jc w:val="both"/>
      </w:pPr>
      <w:r>
        <w:rPr>
          <w:rFonts w:ascii="Calibri" w:hAnsi="Calibri" w:cs="Arial"/>
          <w:sz w:val="24"/>
          <w:szCs w:val="24"/>
        </w:rPr>
        <w:t xml:space="preserve">2.2. Inputs are prepared on the standard template with data and trends for the last 12 months and sent to the Management System Representative one week before the meeting.</w:t>
      </w:r>
    </w:p>
    <w:p>
      <w:pPr>
        <w:pStyle w:val="ListeParagraf"/>
        <w:spacing w:after="80"/>
        <w:ind w:left="709" w:right="0"/>
        <w:jc w:val="both"/>
      </w:pPr>
      <w:r>
        <w:rPr>
          <w:rFonts w:ascii="Calibri" w:hAnsi="Calibri" w:cs="Arial"/>
          <w:sz w:val="24"/>
          <w:szCs w:val="24"/>
        </w:rPr>
        <w:t xml:space="preserve">2.3. Data are shown with charts and trends compared with the previous period; the Management System Representative checks that all mandatory input headings are complete and the data are reliable.</w:t>
      </w:r>
    </w:p>
    <w:p>
      <w:pPr>
        <w:pStyle w:val="ListeParagraf"/>
        <w:spacing w:after="80"/>
        <w:ind w:left="709" w:right="0"/>
        <w:jc w:val="both"/>
      </w:pPr>
      <w:r>
        <w:rPr>
          <w:rFonts w:ascii="Calibri" w:hAnsi="Calibri" w:cs="Arial"/>
          <w:sz w:val="24"/>
          <w:szCs w:val="24"/>
        </w:rPr>
        <w:t xml:space="preserve">2.4. The inputs are sent to the participants at least five working days before the meeting.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CONDUCTING THE MEETING</w:t>
      </w:r>
    </w:p>
    <w:p>
      <w:pPr>
        <w:pStyle w:val="ListeParagraf"/>
        <w:spacing w:after="80"/>
        <w:ind w:left="709" w:right="0"/>
        <w:jc w:val="both"/>
      </w:pPr>
      <w:r>
        <w:rPr>
          <w:rFonts w:ascii="Calibri" w:hAnsi="Calibri" w:cs="Arial"/>
          <w:sz w:val="24"/>
          <w:szCs w:val="24"/>
        </w:rPr>
        <w:t xml:space="preserve">3.1. The General Manager chairs the meeting; each department manager presents its inputs and proposals.</w:t>
      </w:r>
    </w:p>
    <w:p>
      <w:pPr>
        <w:pStyle w:val="ListeParagraf"/>
        <w:spacing w:after="80"/>
        <w:ind w:left="709" w:right="0"/>
        <w:jc w:val="both"/>
      </w:pPr>
      <w:r>
        <w:rPr>
          <w:rFonts w:ascii="Calibri" w:hAnsi="Calibri" w:cs="Arial"/>
          <w:sz w:val="24"/>
          <w:szCs w:val="24"/>
        </w:rPr>
        <w:t xml:space="preserve">3.2. The participants evaluate whether the system is suitable, adequate and effective, and whether the policies and objectives are still appropriate.</w:t>
      </w:r>
    </w:p>
    <w:p>
      <w:pPr>
        <w:pStyle w:val="ListeParagraf"/>
        <w:spacing w:after="80"/>
        <w:ind w:left="709" w:right="0"/>
        <w:jc w:val="both"/>
      </w:pPr>
      <w:r>
        <w:rPr>
          <w:rFonts w:ascii="Calibri" w:hAnsi="Calibri" w:cs="Arial"/>
          <w:sz w:val="24"/>
          <w:szCs w:val="24"/>
        </w:rPr>
        <w:t xml:space="preserve">3.3. Attendance is recorded on the attendance list.</w:t>
      </w:r>
    </w:p>
    <w:p>
      <w:pPr>
        <w:pStyle w:val="ListeParagraf"/>
        <w:spacing w:after="80"/>
        <w:ind w:left="709" w:right="0"/>
        <w:jc w:val="both"/>
      </w:pPr>
      <w:r>
        <w:rPr>
          <w:rFonts w:ascii="Calibri" w:hAnsi="Calibri" w:cs="Arial"/>
          <w:sz w:val="24"/>
          <w:szCs w:val="24"/>
        </w:rPr>
        <w:t xml:space="preserve">3.4. For each input, performance against targets, deviations and trends are discussed, and the alignment of the system with the strategic direction is assessed.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REVIEW OUTPUTS AND DECISIONS</w:t>
      </w:r>
    </w:p>
    <w:p>
      <w:pPr>
        <w:pStyle w:val="ListeParagraf"/>
        <w:spacing w:after="80"/>
        <w:ind w:left="709" w:right="0"/>
        <w:jc w:val="both"/>
      </w:pPr>
      <w:r>
        <w:rPr>
          <w:rFonts w:ascii="Calibri" w:hAnsi="Calibri" w:cs="Arial"/>
          <w:sz w:val="24"/>
          <w:szCs w:val="24"/>
        </w:rPr>
        <w:t xml:space="preserve">4.1. The review outputs include decisions and actions on:</w:t>
      </w:r>
    </w:p>
    <w:p>
      <w:pPr>
        <w:pStyle w:val="ListeParagraf"/>
        <w:numPr>
          <w:ilvl w:val="0"/>
          <w:numId w:val="1"/>
        </w:numPr>
        <w:spacing w:after="60"/>
        <w:jc w:val="both"/>
      </w:pPr>
      <w:r>
        <w:rPr>
          <w:rFonts w:ascii="Calibri" w:hAnsi="Calibri" w:cs="Arial"/>
          <w:sz w:val="24"/>
          <w:szCs w:val="24"/>
        </w:rPr>
        <w:t xml:space="preserve">Opportunities for continual improvement,</w:t>
      </w:r>
    </w:p>
    <w:p>
      <w:pPr>
        <w:pStyle w:val="ListeParagraf"/>
        <w:numPr>
          <w:ilvl w:val="0"/>
          <w:numId w:val="1"/>
        </w:numPr>
        <w:spacing w:after="60"/>
        <w:jc w:val="both"/>
      </w:pPr>
      <w:r>
        <w:rPr>
          <w:rFonts w:ascii="Calibri" w:hAnsi="Calibri" w:cs="Arial"/>
          <w:sz w:val="24"/>
          <w:szCs w:val="24"/>
        </w:rPr>
        <w:t xml:space="preserve">Any changes needed to the management system, policies, objectives and processes,</w:t>
      </w:r>
    </w:p>
    <w:p>
      <w:pPr>
        <w:pStyle w:val="ListeParagraf"/>
        <w:numPr>
          <w:ilvl w:val="0"/>
          <w:numId w:val="1"/>
        </w:numPr>
        <w:spacing w:after="60"/>
        <w:jc w:val="both"/>
      </w:pPr>
      <w:r>
        <w:rPr>
          <w:rFonts w:ascii="Calibri" w:hAnsi="Calibri" w:cs="Arial"/>
          <w:sz w:val="24"/>
          <w:szCs w:val="24"/>
        </w:rPr>
        <w:t xml:space="preserve">Resource needs (personnel, training, equipment, budget),</w:t>
      </w:r>
    </w:p>
    <w:p>
      <w:pPr>
        <w:pStyle w:val="ListeParagraf"/>
        <w:numPr>
          <w:ilvl w:val="0"/>
          <w:numId w:val="1"/>
        </w:numPr>
        <w:spacing w:after="60"/>
        <w:jc w:val="both"/>
      </w:pPr>
      <w:r>
        <w:rPr>
          <w:rFonts w:ascii="Calibri" w:hAnsi="Calibri" w:cs="Arial"/>
          <w:sz w:val="24"/>
          <w:szCs w:val="24"/>
        </w:rPr>
        <w:t xml:space="preserve">Actions where objectives have not been achieved,</w:t>
      </w:r>
    </w:p>
    <w:p>
      <w:pPr>
        <w:pStyle w:val="ListeParagraf"/>
        <w:numPr>
          <w:ilvl w:val="0"/>
          <w:numId w:val="1"/>
        </w:numPr>
        <w:spacing w:after="60"/>
        <w:jc w:val="both"/>
      </w:pPr>
      <w:r>
        <w:rPr>
          <w:rFonts w:ascii="Calibri" w:hAnsi="Calibri" w:cs="Arial"/>
          <w:sz w:val="24"/>
          <w:szCs w:val="24"/>
        </w:rPr>
        <w:t xml:space="preserve">Implications for the strategic direction of the Company.</w:t>
      </w:r>
    </w:p>
    <w:p>
      <w:pPr>
        <w:pStyle w:val="ListeParagraf"/>
        <w:spacing w:after="80"/>
        <w:ind w:left="709" w:right="0"/>
        <w:jc w:val="both"/>
      </w:pPr>
      <w:r>
        <w:rPr>
          <w:rFonts w:ascii="Calibri" w:hAnsi="Calibri" w:cs="Arial"/>
          <w:sz w:val="24"/>
          <w:szCs w:val="24"/>
        </w:rPr>
        <w:t xml:space="preserve">4.2. Each action is recorded with a responsible person and deadline in the Management Review Minutes and Action Plan.</w:t>
      </w:r>
    </w:p>
    <w:p>
      <w:pPr>
        <w:pStyle w:val="ListeParagraf"/>
        <w:spacing w:after="80"/>
        <w:ind w:left="709" w:right="0"/>
        <w:jc w:val="both"/>
      </w:pPr>
      <w:r>
        <w:rPr>
          <w:rFonts w:ascii="Calibri" w:hAnsi="Calibri" w:cs="Arial"/>
          <w:sz w:val="24"/>
          <w:szCs w:val="24"/>
        </w:rPr>
        <w:t xml:space="preserve">4.3. The minutes are approved by the General Manager and distributed to participants within ten working days; relevant results are communicated to employees and worker representatives through notice boards and department meetings.</w:t>
      </w:r>
    </w:p>
    <w:p>
      <w:pPr>
        <w:pStyle w:val="ListeParagraf"/>
        <w:spacing w:after="80"/>
        <w:ind w:left="709" w:right="0"/>
        <w:jc w:val="both"/>
      </w:pPr>
      <w:r>
        <w:rPr>
          <w:rFonts w:ascii="Calibri" w:hAnsi="Calibri" w:cs="Arial"/>
          <w:sz w:val="24"/>
          <w:szCs w:val="24"/>
        </w:rPr>
        <w:t xml:space="preserve">4.4. Decisions on updating the policy and objectives, resource allocation, training and investment are recorded with the expected results.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FOLLOW-UP</w:t>
      </w:r>
    </w:p>
    <w:p>
      <w:pPr>
        <w:pStyle w:val="ListeParagraf"/>
        <w:spacing w:after="80"/>
        <w:ind w:left="709" w:right="0"/>
        <w:jc w:val="both"/>
      </w:pPr>
      <w:r>
        <w:rPr>
          <w:rFonts w:ascii="Calibri" w:hAnsi="Calibri" w:cs="Arial"/>
          <w:sz w:val="24"/>
          <w:szCs w:val="24"/>
        </w:rPr>
        <w:t xml:space="preserve">5.1. The Management System Representative follows up the actions every quarter and reports overdue actions to the General Manager.</w:t>
      </w:r>
    </w:p>
    <w:p>
      <w:pPr>
        <w:pStyle w:val="ListeParagraf"/>
        <w:spacing w:after="80"/>
        <w:ind w:left="709" w:right="0"/>
        <w:jc w:val="both"/>
      </w:pPr>
      <w:r>
        <w:rPr>
          <w:rFonts w:ascii="Calibri" w:hAnsi="Calibri" w:cs="Arial"/>
          <w:sz w:val="24"/>
          <w:szCs w:val="24"/>
        </w:rPr>
        <w:t xml:space="preserve">5.2. The status of the actions is the first input of the next management review.</w:t>
      </w:r>
    </w:p>
    <w:p>
      <w:pPr>
        <w:pStyle w:val="ListeParagraf"/>
        <w:spacing w:after="80"/>
        <w:ind w:left="709" w:right="0"/>
        <w:jc w:val="both"/>
      </w:pPr>
      <w:r>
        <w:rPr>
          <w:rFonts w:ascii="Calibri" w:hAnsi="Calibri" w:cs="Arial"/>
          <w:sz w:val="24"/>
          <w:szCs w:val="24"/>
        </w:rPr>
        <w:t xml:space="preserve">5.3. Closure of an action is verified with evidence; an ineffective action is re-planned. The reasons for delayed actions are analysed and responsibilities and resources are reorganised.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The following indicators are monitored:</w:t>
      </w:r>
    </w:p>
    <w:p>
      <w:pPr>
        <w:pStyle w:val="ListeParagraf"/>
        <w:numPr>
          <w:ilvl w:val="0"/>
          <w:numId w:val="1"/>
        </w:numPr>
        <w:spacing w:after="60"/>
        <w:jc w:val="both"/>
      </w:pPr>
      <w:r>
        <w:rPr>
          <w:rFonts w:ascii="Calibri" w:hAnsi="Calibri" w:cs="Arial"/>
          <w:sz w:val="24"/>
          <w:szCs w:val="24"/>
        </w:rPr>
        <w:t xml:space="preserve">Management review held as planned with all required inputs,</w:t>
      </w:r>
    </w:p>
    <w:p>
      <w:pPr>
        <w:pStyle w:val="ListeParagraf"/>
        <w:numPr>
          <w:ilvl w:val="0"/>
          <w:numId w:val="1"/>
        </w:numPr>
        <w:spacing w:after="60"/>
        <w:jc w:val="both"/>
      </w:pPr>
      <w:r>
        <w:rPr>
          <w:rFonts w:ascii="Calibri" w:hAnsi="Calibri" w:cs="Arial"/>
          <w:sz w:val="24"/>
          <w:szCs w:val="24"/>
        </w:rPr>
        <w:t xml:space="preserve">Percentage of review actions completed on time (target: at least 90%),</w:t>
      </w:r>
    </w:p>
    <w:p>
      <w:pPr>
        <w:pStyle w:val="ListeParagraf"/>
        <w:numPr>
          <w:ilvl w:val="0"/>
          <w:numId w:val="1"/>
        </w:numPr>
        <w:spacing w:after="60"/>
        <w:jc w:val="both"/>
      </w:pPr>
      <w:r>
        <w:rPr>
          <w:rFonts w:ascii="Calibri" w:hAnsi="Calibri" w:cs="Arial"/>
          <w:sz w:val="24"/>
          <w:szCs w:val="24"/>
        </w:rPr>
        <w:t xml:space="preserve">Number of objectives achieved compared with the previous year.</w:t>
      </w:r>
    </w:p>
    <w:p>
      <w:pPr>
        <w:pStyle w:val="ListeParagraf"/>
        <w:spacing w:after="80"/>
        <w:ind w:left="709" w:right="0"/>
        <w:jc w:val="both"/>
      </w:pPr>
      <w:r>
        <w:rPr>
          <w:rFonts w:ascii="Calibri" w:hAnsi="Calibri" w:cs="Arial"/>
          <w:sz w:val="24"/>
          <w:szCs w:val="24"/>
        </w:rPr>
        <w:t xml:space="preserve">6.2. Examples of targets, to be updated according to company policy and customer specifications: at least one review a year (two where required), top management attendance 100%, completeness of mandatory inputs 100%, minutes issued within the defined time, at least 90% of quality objectives achieved.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NONCONFORMITIES AND CORRECTIVE ACTION</w:t>
      </w:r>
    </w:p>
    <w:p>
      <w:pPr>
        <w:pStyle w:val="ListeParagraf"/>
        <w:spacing w:after="80"/>
        <w:ind w:left="709" w:right="0"/>
        <w:jc w:val="both"/>
      </w:pPr>
      <w:r>
        <w:rPr>
          <w:rFonts w:ascii="Calibri" w:hAnsi="Calibri" w:cs="Arial"/>
          <w:sz w:val="24"/>
          <w:szCs w:val="24"/>
        </w:rPr>
        <w:t xml:space="preserve">7.1. A corrective action (CAPA) is opened when the meeting is not held as planned, a mandatory input is missing, an action is overdue, objectives are not achieved or an external audit has a finding on the management review.</w:t>
      </w:r>
    </w:p>
    <w:p>
      <w:pPr>
        <w:pStyle w:val="ListeParagraf"/>
        <w:spacing w:after="80"/>
        <w:ind w:left="709" w:right="0"/>
        <w:jc w:val="both"/>
      </w:pPr>
      <w:r>
        <w:rPr>
          <w:rFonts w:ascii="Calibri" w:hAnsi="Calibri" w:cs="Arial"/>
          <w:sz w:val="24"/>
          <w:szCs w:val="24"/>
        </w:rPr>
        <w:t xml:space="preserve">7.2. The missing input is completed immediately and the meeting is re-planned within 15 days; a critical deviation in performance is reported to the General Manager on the same day.</w:t>
      </w:r>
    </w:p>
    <w:p>
      <w:pPr>
        <w:pStyle w:val="ListeParagraf"/>
        <w:spacing w:after="80"/>
        <w:ind w:left="709" w:right="0"/>
        <w:jc w:val="both"/>
      </w:pPr>
      <w:r>
        <w:rPr>
          <w:rFonts w:ascii="Calibri" w:hAnsi="Calibri" w:cs="Arial"/>
          <w:sz w:val="24"/>
          <w:szCs w:val="24"/>
        </w:rPr>
        <w:t xml:space="preserve">7.3. The corrective action is closed with evidence and effectiveness verification, and the result is reported in the next management review.</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Management Review Input Template and Review Input Form (PRS-YGG-01, FRM-YGG-01); review input checklist instruction (TLM-YGG-01)</w:t>
      </w:r>
    </w:p>
    <w:p>
      <w:pPr>
        <w:pStyle w:val="ListeParagraf"/>
        <w:numPr>
          <w:ilvl w:val="0"/>
          <w:numId w:val="1"/>
        </w:numPr>
        <w:spacing w:after="60"/>
        <w:jc w:val="both"/>
      </w:pPr>
      <w:r>
        <w:rPr>
          <w:rFonts w:ascii="Calibri" w:hAnsi="Calibri" w:cs="Arial"/>
          <w:sz w:val="24"/>
          <w:szCs w:val="24"/>
        </w:rPr>
        <w:t xml:space="preserve">Management Review Minutes and Action Plan (FRM-YGG-02); meeting and decision record instruction (TLM-YGG-02)</w:t>
      </w:r>
    </w:p>
    <w:p>
      <w:pPr>
        <w:pStyle w:val="ListeParagraf"/>
        <w:numPr>
          <w:ilvl w:val="0"/>
          <w:numId w:val="1"/>
        </w:numPr>
        <w:spacing w:after="60"/>
        <w:jc w:val="both"/>
      </w:pPr>
      <w:r>
        <w:rPr>
          <w:rFonts w:ascii="Calibri" w:hAnsi="Calibri" w:cs="Arial"/>
          <w:sz w:val="24"/>
          <w:szCs w:val="24"/>
        </w:rPr>
        <w:t xml:space="preserve">Action Follow-up Form (FRM-YGG-03); action and objective follow-up instruction (TLM-YGG-03)</w:t>
      </w:r>
    </w:p>
    <w:p>
      <w:pPr>
        <w:pStyle w:val="ListeParagraf"/>
        <w:numPr>
          <w:ilvl w:val="0"/>
          <w:numId w:val="1"/>
        </w:numPr>
        <w:spacing w:after="60"/>
        <w:jc w:val="both"/>
      </w:pPr>
      <w:r>
        <w:rPr>
          <w:rFonts w:ascii="Calibri" w:hAnsi="Calibri" w:cs="Arial"/>
          <w:sz w:val="24"/>
          <w:szCs w:val="24"/>
        </w:rPr>
        <w:t xml:space="preserve">Attendance List and Quality Objectives Report</w:t>
      </w:r>
    </w:p>
    <w:p>
      <w:pPr>
        <w:pStyle w:val="ListeParagraf"/>
        <w:numPr>
          <w:ilvl w:val="0"/>
          <w:numId w:val="1"/>
        </w:numPr>
        <w:spacing w:after="60"/>
        <w:jc w:val="both"/>
      </w:pPr>
      <w:r>
        <w:rPr>
          <w:rFonts w:ascii="Calibri" w:hAnsi="Calibri" w:cs="Arial"/>
          <w:sz w:val="24"/>
          <w:szCs w:val="24"/>
        </w:rPr>
        <w:t xml:space="preserve">EMS.YS.POL.11.01. Integrated Management System Policy</w:t>
      </w:r>
    </w:p>
    <w:p>
      <w:pPr>
        <w:pStyle w:val="ListeParagraf"/>
        <w:numPr>
          <w:ilvl w:val="0"/>
          <w:numId w:val="1"/>
        </w:numPr>
        <w:spacing w:after="60"/>
        <w:jc w:val="both"/>
      </w:pPr>
      <w:r>
        <w:rPr>
          <w:rFonts w:ascii="Calibri" w:hAnsi="Calibri" w:cs="Arial"/>
          <w:sz w:val="24"/>
          <w:szCs w:val="24"/>
        </w:rPr>
        <w:t xml:space="preserve">EMS.YS.PRO.11.02. Internal Audit, Nonconformity and Corrective Action Procedure</w:t>
      </w:r>
    </w:p>
    <w:p>
      <w:pPr>
        <w:pStyle w:val="ListeParagraf"/>
        <w:numPr>
          <w:ilvl w:val="0"/>
          <w:numId w:val="1"/>
        </w:numPr>
        <w:spacing w:after="60"/>
        <w:jc w:val="both"/>
      </w:pPr>
      <w:r>
        <w:rPr>
          <w:rFonts w:ascii="Calibri" w:hAnsi="Calibri" w:cs="Arial"/>
          <w:sz w:val="24"/>
          <w:szCs w:val="24"/>
        </w:rPr>
        <w:t xml:space="preserve">EMS.YS.PRO.11.03. Context of the Organization and Interested Parties Procedure</w:t>
      </w:r>
    </w:p>
    <w:p>
      <w:pPr>
        <w:pStyle w:val="ListeParagraf"/>
        <w:numPr>
          <w:ilvl w:val="0"/>
          <w:numId w:val="1"/>
        </w:numPr>
        <w:spacing w:after="60"/>
        <w:jc w:val="both"/>
      </w:pPr>
      <w:r>
        <w:rPr>
          <w:rFonts w:ascii="Calibri" w:hAnsi="Calibri" w:cs="Arial"/>
          <w:sz w:val="24"/>
          <w:szCs w:val="24"/>
        </w:rPr>
        <w:t xml:space="preserve">EMS.YS.PRO.11.04. Risks and Opportunities Procedure</w:t>
      </w:r>
    </w:p>
    <w:p>
      <w:pPr>
        <w:pStyle w:val="ListeParagraf"/>
        <w:numPr>
          <w:ilvl w:val="0"/>
          <w:numId w:val="1"/>
        </w:numPr>
        <w:spacing w:after="60"/>
        <w:jc w:val="both"/>
      </w:pPr>
      <w:r>
        <w:rPr>
          <w:rFonts w:ascii="Calibri" w:hAnsi="Calibri" w:cs="Arial"/>
          <w:sz w:val="24"/>
          <w:szCs w:val="24"/>
        </w:rPr>
        <w:t xml:space="preserve">EMS.İS.PRO.18.21. Management Review Procedure (OHS)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FOLLOW-UP</w:t>
      </w:r>
    </w:p>
    <w:p>
      <w:pPr>
        <w:pStyle w:val="ListeParagraf"/>
        <w:spacing w:after="80"/>
        <w:ind w:left="709" w:right="0"/>
        <w:jc w:val="both"/>
      </w:pPr>
      <w:r>
        <w:rPr>
          <w:rFonts w:ascii="Calibri" w:hAnsi="Calibri" w:cs="Arial"/>
          <w:sz w:val="24"/>
          <w:szCs w:val="24"/>
        </w:rPr>
        <w:t xml:space="preserve">This procedure is reviewed every year by the Management System Representative. Feedback from participants and audit results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قيام الإدارة العليا لشركة إيروغلو للتريكو (EMS) بمراجعة نظام الإدارة المتكامل على فترات مخططة لضمان استمرار ملاءمته وكفايته وفعاليته وتوافقه مع التوجه الاستراتيجي للشركة، بما يتوافق مع البند 9.3 من ISO 9001:2015 وISO 14001:2015 وISO 45001:2018.</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تخطيط اجتماعات مراجعة الإدارة ومدخلاتها وانعقادها ومخرجاتها ومتابعتها، في مجالات الجودة والبيئة والصحة والسلامة المهنية والامتثال الاجتماعي وإدارة الكيماويات والاستدامة وأمن سلسلة التوريد، بما في ذلك عمليات الغزل والتريكو والصباغة والملابس الجاهزة.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يرأس مراجعة الإدارة، ويتخذ القرارات، ويخصص الموارد اللازمة.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ممثل نظام الإدارة (مدير ضمان الجودة):</w:t>
      </w:r>
      <w:r>
        <w:rPr>
          <w:rFonts w:ascii="Calibri" w:hAnsi="Calibri" w:cs="Arial"/>
          <w:rtl/>
          <w:sz w:val="24"/>
          <w:szCs w:val="24"/>
        </w:rPr>
        <w:t xml:space="preserve"> يخطط للاجتماع، ويجمع المدخلات ويوحدها، ويعد المحضر، ويتابع القرارات.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يعدون بيانات أداء مجالاتهم ويعرضونها، وينفذون القرارات المسندة إليهم.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الموارد البشرية:</w:t>
      </w:r>
      <w:r>
        <w:rPr>
          <w:rFonts w:ascii="Calibri" w:hAnsi="Calibri" w:cs="Arial"/>
          <w:rtl/>
          <w:sz w:val="24"/>
          <w:szCs w:val="24"/>
        </w:rPr>
        <w:t xml:space="preserve"> توفر بيانات التدريب والكفاءة ورضا الموظفين.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المبيعات والتسويق:</w:t>
      </w:r>
      <w:r>
        <w:rPr>
          <w:rFonts w:ascii="Calibri" w:hAnsi="Calibri" w:cs="Arial"/>
          <w:rtl/>
          <w:sz w:val="24"/>
          <w:szCs w:val="24"/>
        </w:rPr>
        <w:t xml:space="preserve"> توفر ملاحظات العملاء وبيانات الرضا.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المشتريات:</w:t>
      </w:r>
      <w:r>
        <w:rPr>
          <w:rFonts w:ascii="Calibri" w:hAnsi="Calibri" w:cs="Arial"/>
          <w:rtl/>
          <w:sz w:val="24"/>
          <w:szCs w:val="24"/>
        </w:rPr>
        <w:t xml:space="preserve"> توفر بيانات أداء الموردين.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ممثلو العمال / لجنة الصحة والسلامة المهنية:</w:t>
      </w:r>
      <w:r>
        <w:rPr>
          <w:rFonts w:ascii="Calibri" w:hAnsi="Calibri" w:cs="Arial"/>
          <w:rtl/>
          <w:sz w:val="24"/>
          <w:szCs w:val="24"/>
        </w:rPr>
        <w:t xml:space="preserve"> يقدمون ملاحظات الموظفين ونتائج التشاور في مجال الصحة والسلامة المهنية كمدخلات للمراجعة.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مراجعة الإدارة:</w:t>
      </w:r>
      <w:r>
        <w:rPr>
          <w:rFonts w:ascii="Calibri" w:hAnsi="Calibri" w:cs="Arial"/>
          <w:rtl/>
          <w:sz w:val="24"/>
          <w:szCs w:val="24"/>
        </w:rPr>
        <w:t xml:space="preserve"> تقييم رسمي وموثق لنظام الإدارة تقوم به الإدارة العليا.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مدخل المراجعة:</w:t>
      </w:r>
      <w:r>
        <w:rPr>
          <w:rFonts w:ascii="Calibri" w:hAnsi="Calibri" w:cs="Arial"/>
          <w:rtl/>
          <w:sz w:val="24"/>
          <w:szCs w:val="24"/>
        </w:rPr>
        <w:t xml:space="preserve"> معلومات يجب أخذها في الاعتبار أثناء المراجعة (الأداء، ونتائج التدقيق، والتغييرات، والموارد، والمخاطر).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مخرج المراجعة:</w:t>
      </w:r>
      <w:r>
        <w:rPr>
          <w:rFonts w:ascii="Calibri" w:hAnsi="Calibri" w:cs="Arial"/>
          <w:rtl/>
          <w:sz w:val="24"/>
          <w:szCs w:val="24"/>
        </w:rPr>
        <w:t xml:space="preserve"> القرارات والإجراءات الناتجة عن المراجعة والمتعلقة بالتحسين والتغييرات في النظام واحتياجات الموارد.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هدف الجودة:</w:t>
      </w:r>
      <w:r>
        <w:rPr>
          <w:rFonts w:ascii="Calibri" w:hAnsi="Calibri" w:cs="Arial"/>
          <w:rtl/>
          <w:sz w:val="24"/>
          <w:szCs w:val="24"/>
        </w:rPr>
        <w:t xml:space="preserve"> هدف قابل للقياس ومتسق مع السياسة ويخضع للمتابعة.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الإجراء:</w:t>
      </w:r>
      <w:r>
        <w:rPr>
          <w:rFonts w:ascii="Calibri" w:hAnsi="Calibri" w:cs="Arial"/>
          <w:rtl/>
          <w:sz w:val="24"/>
          <w:szCs w:val="24"/>
        </w:rPr>
        <w:t xml:space="preserve"> نشاط له مسؤول وموعد نهائي يُسند في الاجتماع.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التخطيط</w:t>
      </w:r>
    </w:p>
    <w:p>
      <w:pPr>
        <w:pStyle w:val="ListeParagraf"/>
        <w:bidi/>
        <w:spacing w:after="80"/>
        <w:ind w:left="0" w:right="709"/>
        <w:jc w:val="both"/>
      </w:pPr>
      <w:r>
        <w:rPr>
          <w:rFonts w:ascii="Calibri" w:hAnsi="Calibri" w:cs="Arial"/>
          <w:rtl/>
          <w:sz w:val="24"/>
          <w:szCs w:val="24"/>
        </w:rPr>
        <w:t xml:space="preserve">1.1. تُعقد مراجعة الإدارة مرة واحدة على الأقل سنويًا، عادة في الربع الأول، وكذلك عند حدوث تغيير هام أو حادث كبير أو ملاحظة جسيمة من عميل أو جهة اعتماد. وحيث يشترط العملاء أو جهة الاعتماد تُعقد المراجعة كل ستة أشهر.</w:t>
      </w:r>
    </w:p>
    <w:p>
      <w:pPr>
        <w:pStyle w:val="ListeParagraf"/>
        <w:bidi/>
        <w:spacing w:after="80"/>
        <w:ind w:left="0" w:right="709"/>
        <w:jc w:val="both"/>
      </w:pPr>
      <w:r>
        <w:rPr>
          <w:rFonts w:ascii="Calibri" w:hAnsi="Calibri" w:cs="Arial"/>
          <w:rtl/>
          <w:sz w:val="24"/>
          <w:szCs w:val="24"/>
        </w:rPr>
        <w:t xml:space="preserve">1.2. يصدر ممثل نظام الإدارة خطة الاجتماع ونموذج المدخلات إلى مديري الأقسام قبل الاجتماع بثلاثة أسابيع على الأقل.</w:t>
      </w:r>
    </w:p>
    <w:p>
      <w:pPr>
        <w:pStyle w:val="ListeParagraf"/>
        <w:bidi/>
        <w:spacing w:after="80"/>
        <w:ind w:left="0" w:right="709"/>
        <w:jc w:val="both"/>
      </w:pPr>
      <w:r>
        <w:rPr>
          <w:rFonts w:ascii="Calibri" w:hAnsi="Calibri" w:cs="Arial"/>
          <w:rtl/>
          <w:sz w:val="24"/>
          <w:szCs w:val="24"/>
        </w:rPr>
        <w:t xml:space="preserve">1.3. يشارك في الاجتماع المدير العام وممثل نظام الإدارة ومديرو الإنتاج والصباغة والجودة والموارد البشرية والصحة والسلامة والبيئة والمسؤولية الاجتماعية والمشتريات والمستودع والصيانة والمالية، وممثل للعمال في موضوعات الصحة والسلامة المهنية والموضوعات الاجتماعية. وحضور الإدارة العليا إلزامي.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مدخلات المراجعة</w:t>
      </w:r>
    </w:p>
    <w:p>
      <w:pPr>
        <w:pStyle w:val="ListeParagraf"/>
        <w:bidi/>
        <w:spacing w:after="80"/>
        <w:ind w:left="0" w:right="709"/>
        <w:jc w:val="both"/>
      </w:pPr>
      <w:r>
        <w:rPr>
          <w:rFonts w:ascii="Calibri" w:hAnsi="Calibri" w:cs="Arial"/>
          <w:rtl/>
          <w:sz w:val="24"/>
          <w:szCs w:val="24"/>
        </w:rPr>
        <w:t xml:space="preserve">2.1. تتناول المراجعة المدخلات التالية كحد أدنى:</w:t>
      </w:r>
    </w:p>
    <w:p>
      <w:pPr>
        <w:pStyle w:val="ListeParagraf"/>
        <w:numPr>
          <w:ilvl w:val="0"/>
          <w:numId w:val="1"/>
        </w:numPr>
        <w:bidi/>
        <w:spacing w:after="60"/>
        <w:jc w:val="both"/>
      </w:pPr>
      <w:r>
        <w:rPr>
          <w:rFonts w:ascii="Calibri" w:hAnsi="Calibri" w:cs="Arial"/>
          <w:rtl/>
          <w:sz w:val="24"/>
          <w:szCs w:val="24"/>
        </w:rPr>
        <w:t xml:space="preserve">حالة الإجراءات الناتجة عن مراجعات الإدارة السابقة،</w:t>
      </w:r>
    </w:p>
    <w:p>
      <w:pPr>
        <w:pStyle w:val="ListeParagraf"/>
        <w:numPr>
          <w:ilvl w:val="0"/>
          <w:numId w:val="1"/>
        </w:numPr>
        <w:bidi/>
        <w:spacing w:after="60"/>
        <w:jc w:val="both"/>
      </w:pPr>
      <w:r>
        <w:rPr>
          <w:rFonts w:ascii="Calibri" w:hAnsi="Calibri" w:cs="Arial"/>
          <w:rtl/>
          <w:sz w:val="24"/>
          <w:szCs w:val="24"/>
        </w:rPr>
        <w:t xml:space="preserve">التغيرات في القضايا الداخلية والخارجية ومتطلبات الأطراف المعنية والالتزامات الامتثالية،</w:t>
      </w:r>
    </w:p>
    <w:p>
      <w:pPr>
        <w:pStyle w:val="ListeParagraf"/>
        <w:numPr>
          <w:ilvl w:val="0"/>
          <w:numId w:val="1"/>
        </w:numPr>
        <w:bidi/>
        <w:spacing w:after="60"/>
        <w:jc w:val="both"/>
      </w:pPr>
      <w:r>
        <w:rPr>
          <w:rFonts w:ascii="Calibri" w:hAnsi="Calibri" w:cs="Arial"/>
          <w:rtl/>
          <w:sz w:val="24"/>
          <w:szCs w:val="24"/>
        </w:rPr>
        <w:t xml:space="preserve">رضا العملاء والشكاوى وملاحظات الأطراف المعنية،</w:t>
      </w:r>
    </w:p>
    <w:p>
      <w:pPr>
        <w:pStyle w:val="ListeParagraf"/>
        <w:numPr>
          <w:ilvl w:val="0"/>
          <w:numId w:val="1"/>
        </w:numPr>
        <w:bidi/>
        <w:spacing w:after="60"/>
        <w:jc w:val="both"/>
      </w:pPr>
      <w:r>
        <w:rPr>
          <w:rFonts w:ascii="Calibri" w:hAnsi="Calibri" w:cs="Arial"/>
          <w:rtl/>
          <w:sz w:val="24"/>
          <w:szCs w:val="24"/>
        </w:rPr>
        <w:t xml:space="preserve">مدى تحقيق أهداف ومؤشرات الجودة والبيئة والصحة والسلامة المهنية والاستدامة،</w:t>
      </w:r>
    </w:p>
    <w:p>
      <w:pPr>
        <w:pStyle w:val="ListeParagraf"/>
        <w:numPr>
          <w:ilvl w:val="0"/>
          <w:numId w:val="1"/>
        </w:numPr>
        <w:bidi/>
        <w:spacing w:after="60"/>
        <w:jc w:val="both"/>
      </w:pPr>
      <w:r>
        <w:rPr>
          <w:rFonts w:ascii="Calibri" w:hAnsi="Calibri" w:cs="Arial"/>
          <w:rtl/>
          <w:sz w:val="24"/>
          <w:szCs w:val="24"/>
        </w:rPr>
        <w:t xml:space="preserve">أداء العمليات ومطابقة المنتج (معدلات العيوب، ونتائج AQL، ونتائج اختبارات RSL)،</w:t>
      </w:r>
    </w:p>
    <w:p>
      <w:pPr>
        <w:pStyle w:val="ListeParagraf"/>
        <w:numPr>
          <w:ilvl w:val="0"/>
          <w:numId w:val="1"/>
        </w:numPr>
        <w:bidi/>
        <w:spacing w:after="60"/>
        <w:jc w:val="both"/>
      </w:pPr>
      <w:r>
        <w:rPr>
          <w:rFonts w:ascii="Calibri" w:hAnsi="Calibri" w:cs="Arial"/>
          <w:rtl/>
          <w:sz w:val="24"/>
          <w:szCs w:val="24"/>
        </w:rPr>
        <w:t xml:space="preserve">حالات عدم المطابقة والإجراءات التصحيحية والحوادث والإصابات ونتائج التشاور في مجال الصحة والسلامة المهنية،</w:t>
      </w:r>
    </w:p>
    <w:p>
      <w:pPr>
        <w:pStyle w:val="ListeParagraf"/>
        <w:numPr>
          <w:ilvl w:val="0"/>
          <w:numId w:val="1"/>
        </w:numPr>
        <w:bidi/>
        <w:spacing w:after="60"/>
        <w:jc w:val="both"/>
      </w:pPr>
      <w:r>
        <w:rPr>
          <w:rFonts w:ascii="Calibri" w:hAnsi="Calibri" w:cs="Arial"/>
          <w:rtl/>
          <w:sz w:val="24"/>
          <w:szCs w:val="24"/>
        </w:rPr>
        <w:t xml:space="preserve">نتائج التدقيق الداخلي وتدقيقات العملاء والامتثال الاجتماعي وتدقيقات الاعتماد،</w:t>
      </w:r>
    </w:p>
    <w:p>
      <w:pPr>
        <w:pStyle w:val="ListeParagraf"/>
        <w:numPr>
          <w:ilvl w:val="0"/>
          <w:numId w:val="1"/>
        </w:numPr>
        <w:bidi/>
        <w:spacing w:after="60"/>
        <w:jc w:val="both"/>
      </w:pPr>
      <w:r>
        <w:rPr>
          <w:rFonts w:ascii="Calibri" w:hAnsi="Calibri" w:cs="Arial"/>
          <w:rtl/>
          <w:sz w:val="24"/>
          <w:szCs w:val="24"/>
        </w:rPr>
        <w:t xml:space="preserve">الأداء البيئي (الطاقة، والمياه، ومياه الصرف، والنفايات، والانبعاثات، والكيماويات)،</w:t>
      </w:r>
    </w:p>
    <w:p>
      <w:pPr>
        <w:pStyle w:val="ListeParagraf"/>
        <w:numPr>
          <w:ilvl w:val="0"/>
          <w:numId w:val="1"/>
        </w:numPr>
        <w:bidi/>
        <w:spacing w:after="60"/>
        <w:jc w:val="both"/>
      </w:pPr>
      <w:r>
        <w:rPr>
          <w:rFonts w:ascii="Calibri" w:hAnsi="Calibri" w:cs="Arial"/>
          <w:rtl/>
          <w:sz w:val="24"/>
          <w:szCs w:val="24"/>
        </w:rPr>
        <w:t xml:space="preserve">أداء مقدمي الخدمات الخارجيين والمقاولين من الباطن،</w:t>
      </w:r>
    </w:p>
    <w:p>
      <w:pPr>
        <w:pStyle w:val="ListeParagraf"/>
        <w:numPr>
          <w:ilvl w:val="0"/>
          <w:numId w:val="1"/>
        </w:numPr>
        <w:bidi/>
        <w:spacing w:after="60"/>
        <w:jc w:val="both"/>
      </w:pPr>
      <w:r>
        <w:rPr>
          <w:rFonts w:ascii="Calibri" w:hAnsi="Calibri" w:cs="Arial"/>
          <w:rtl/>
          <w:sz w:val="24"/>
          <w:szCs w:val="24"/>
        </w:rPr>
        <w:t xml:space="preserve">كفاية الموارد، والمخاطر والفرص وفعالية الإجراءات المتعلقة بها،</w:t>
      </w:r>
    </w:p>
    <w:p>
      <w:pPr>
        <w:pStyle w:val="ListeParagraf"/>
        <w:numPr>
          <w:ilvl w:val="0"/>
          <w:numId w:val="1"/>
        </w:numPr>
        <w:bidi/>
        <w:spacing w:after="60"/>
        <w:jc w:val="both"/>
      </w:pPr>
      <w:r>
        <w:rPr>
          <w:rFonts w:ascii="Calibri" w:hAnsi="Calibri" w:cs="Arial"/>
          <w:rtl/>
          <w:sz w:val="24"/>
          <w:szCs w:val="24"/>
        </w:rPr>
        <w:t xml:space="preserve">فرص التحسين.</w:t>
      </w:r>
    </w:p>
    <w:p>
      <w:pPr>
        <w:pStyle w:val="ListeParagraf"/>
        <w:bidi/>
        <w:spacing w:after="80"/>
        <w:ind w:left="0" w:right="709"/>
        <w:jc w:val="both"/>
      </w:pPr>
      <w:r>
        <w:rPr>
          <w:rFonts w:ascii="Calibri" w:hAnsi="Calibri" w:cs="Arial"/>
          <w:rtl/>
          <w:sz w:val="24"/>
          <w:szCs w:val="24"/>
        </w:rPr>
        <w:t xml:space="preserve">2.2. تُعد المدخلات على النموذج القياسي مع البيانات والاتجاهات لآخر 12 شهرًا، وتُرسل إلى ممثل نظام الإدارة قبل الاجتماع بأسبوع.</w:t>
      </w:r>
    </w:p>
    <w:p>
      <w:pPr>
        <w:pStyle w:val="ListeParagraf"/>
        <w:bidi/>
        <w:spacing w:after="80"/>
        <w:ind w:left="0" w:right="709"/>
        <w:jc w:val="both"/>
      </w:pPr>
      <w:r>
        <w:rPr>
          <w:rFonts w:ascii="Calibri" w:hAnsi="Calibri" w:cs="Arial"/>
          <w:rtl/>
          <w:sz w:val="24"/>
          <w:szCs w:val="24"/>
        </w:rPr>
        <w:t xml:space="preserve">2.3. تُعرض البيانات بمخططات واتجاهات مقارنة بالفترة السابقة؛ ويتحقق ممثل نظام الإدارة من اكتمال جميع عناوين المدخلات الإلزامية وموثوقية البيانات.</w:t>
      </w:r>
    </w:p>
    <w:p>
      <w:pPr>
        <w:pStyle w:val="ListeParagraf"/>
        <w:bidi/>
        <w:spacing w:after="80"/>
        <w:ind w:left="0" w:right="709"/>
        <w:jc w:val="both"/>
      </w:pPr>
      <w:r>
        <w:rPr>
          <w:rFonts w:ascii="Calibri" w:hAnsi="Calibri" w:cs="Arial"/>
          <w:rtl/>
          <w:sz w:val="24"/>
          <w:szCs w:val="24"/>
        </w:rPr>
        <w:t xml:space="preserve">2.4. تُرسل المدخلات إلى المشاركين قبل الاجتماع بخمسة أيام عمل على الأقل.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عقد الاجتماع</w:t>
      </w:r>
    </w:p>
    <w:p>
      <w:pPr>
        <w:pStyle w:val="ListeParagraf"/>
        <w:bidi/>
        <w:spacing w:after="80"/>
        <w:ind w:left="0" w:right="709"/>
        <w:jc w:val="both"/>
      </w:pPr>
      <w:r>
        <w:rPr>
          <w:rFonts w:ascii="Calibri" w:hAnsi="Calibri" w:cs="Arial"/>
          <w:rtl/>
          <w:sz w:val="24"/>
          <w:szCs w:val="24"/>
        </w:rPr>
        <w:t xml:space="preserve">3.1. يرأس المدير العام الاجتماع؛ ويعرض كل مدير قسم مدخلاته ومقترحاته.</w:t>
      </w:r>
    </w:p>
    <w:p>
      <w:pPr>
        <w:pStyle w:val="ListeParagraf"/>
        <w:bidi/>
        <w:spacing w:after="80"/>
        <w:ind w:left="0" w:right="709"/>
        <w:jc w:val="both"/>
      </w:pPr>
      <w:r>
        <w:rPr>
          <w:rFonts w:ascii="Calibri" w:hAnsi="Calibri" w:cs="Arial"/>
          <w:rtl/>
          <w:sz w:val="24"/>
          <w:szCs w:val="24"/>
        </w:rPr>
        <w:t xml:space="preserve">3.2. يقيّم المشاركون ما إذا كان النظام ملائمًا وكافيًا وفعالًا، وما إذا كانت السياسات والأهداف لا تزال مناسبة.</w:t>
      </w:r>
    </w:p>
    <w:p>
      <w:pPr>
        <w:pStyle w:val="ListeParagraf"/>
        <w:bidi/>
        <w:spacing w:after="80"/>
        <w:ind w:left="0" w:right="709"/>
        <w:jc w:val="both"/>
      </w:pPr>
      <w:r>
        <w:rPr>
          <w:rFonts w:ascii="Calibri" w:hAnsi="Calibri" w:cs="Arial"/>
          <w:rtl/>
          <w:sz w:val="24"/>
          <w:szCs w:val="24"/>
        </w:rPr>
        <w:t xml:space="preserve">3.3. يُسجل الحضور في قائمة الحضور.</w:t>
      </w:r>
    </w:p>
    <w:p>
      <w:pPr>
        <w:pStyle w:val="ListeParagraf"/>
        <w:bidi/>
        <w:spacing w:after="80"/>
        <w:ind w:left="0" w:right="709"/>
        <w:jc w:val="both"/>
      </w:pPr>
      <w:r>
        <w:rPr>
          <w:rFonts w:ascii="Calibri" w:hAnsi="Calibri" w:cs="Arial"/>
          <w:rtl/>
          <w:sz w:val="24"/>
          <w:szCs w:val="24"/>
        </w:rPr>
        <w:t xml:space="preserve">3.4. تُناقش لكل مدخل نتائج الأداء مقابل الأهداف والانحرافات والاتجاهات، ويُقيَّم توافق النظام مع التوجه الاستراتيجي.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مخرجات المراجعة والقرارات</w:t>
      </w:r>
    </w:p>
    <w:p>
      <w:pPr>
        <w:pStyle w:val="ListeParagraf"/>
        <w:bidi/>
        <w:spacing w:after="80"/>
        <w:ind w:left="0" w:right="709"/>
        <w:jc w:val="both"/>
      </w:pPr>
      <w:r>
        <w:rPr>
          <w:rFonts w:ascii="Calibri" w:hAnsi="Calibri" w:cs="Arial"/>
          <w:rtl/>
          <w:sz w:val="24"/>
          <w:szCs w:val="24"/>
        </w:rPr>
        <w:t xml:space="preserve">4.1. تتضمن مخرجات المراجعة قرارات وإجراءات بشأن:</w:t>
      </w:r>
    </w:p>
    <w:p>
      <w:pPr>
        <w:pStyle w:val="ListeParagraf"/>
        <w:numPr>
          <w:ilvl w:val="0"/>
          <w:numId w:val="1"/>
        </w:numPr>
        <w:bidi/>
        <w:spacing w:after="60"/>
        <w:jc w:val="both"/>
      </w:pPr>
      <w:r>
        <w:rPr>
          <w:rFonts w:ascii="Calibri" w:hAnsi="Calibri" w:cs="Arial"/>
          <w:rtl/>
          <w:sz w:val="24"/>
          <w:szCs w:val="24"/>
        </w:rPr>
        <w:t xml:space="preserve">فرص التحسين المستمر،</w:t>
      </w:r>
    </w:p>
    <w:p>
      <w:pPr>
        <w:pStyle w:val="ListeParagraf"/>
        <w:numPr>
          <w:ilvl w:val="0"/>
          <w:numId w:val="1"/>
        </w:numPr>
        <w:bidi/>
        <w:spacing w:after="60"/>
        <w:jc w:val="both"/>
      </w:pPr>
      <w:r>
        <w:rPr>
          <w:rFonts w:ascii="Calibri" w:hAnsi="Calibri" w:cs="Arial"/>
          <w:rtl/>
          <w:sz w:val="24"/>
          <w:szCs w:val="24"/>
        </w:rPr>
        <w:t xml:space="preserve">أي تغييرات لازمة في نظام الإدارة والسياسات والأهداف والعمليات،</w:t>
      </w:r>
    </w:p>
    <w:p>
      <w:pPr>
        <w:pStyle w:val="ListeParagraf"/>
        <w:numPr>
          <w:ilvl w:val="0"/>
          <w:numId w:val="1"/>
        </w:numPr>
        <w:bidi/>
        <w:spacing w:after="60"/>
        <w:jc w:val="both"/>
      </w:pPr>
      <w:r>
        <w:rPr>
          <w:rFonts w:ascii="Calibri" w:hAnsi="Calibri" w:cs="Arial"/>
          <w:rtl/>
          <w:sz w:val="24"/>
          <w:szCs w:val="24"/>
        </w:rPr>
        <w:t xml:space="preserve">احتياجات الموارد (الأفراد، والتدريب، والمعدات، والميزانية)،</w:t>
      </w:r>
    </w:p>
    <w:p>
      <w:pPr>
        <w:pStyle w:val="ListeParagraf"/>
        <w:numPr>
          <w:ilvl w:val="0"/>
          <w:numId w:val="1"/>
        </w:numPr>
        <w:bidi/>
        <w:spacing w:after="60"/>
        <w:jc w:val="both"/>
      </w:pPr>
      <w:r>
        <w:rPr>
          <w:rFonts w:ascii="Calibri" w:hAnsi="Calibri" w:cs="Arial"/>
          <w:rtl/>
          <w:sz w:val="24"/>
          <w:szCs w:val="24"/>
        </w:rPr>
        <w:t xml:space="preserve">الإجراءات اللازمة عند عدم تحقيق الأهداف،</w:t>
      </w:r>
    </w:p>
    <w:p>
      <w:pPr>
        <w:pStyle w:val="ListeParagraf"/>
        <w:numPr>
          <w:ilvl w:val="0"/>
          <w:numId w:val="1"/>
        </w:numPr>
        <w:bidi/>
        <w:spacing w:after="60"/>
        <w:jc w:val="both"/>
      </w:pPr>
      <w:r>
        <w:rPr>
          <w:rFonts w:ascii="Calibri" w:hAnsi="Calibri" w:cs="Arial"/>
          <w:rtl/>
          <w:sz w:val="24"/>
          <w:szCs w:val="24"/>
        </w:rPr>
        <w:t xml:space="preserve">الانعكاسات على التوجه الاستراتيجي للشركة.</w:t>
      </w:r>
    </w:p>
    <w:p>
      <w:pPr>
        <w:pStyle w:val="ListeParagraf"/>
        <w:bidi/>
        <w:spacing w:after="80"/>
        <w:ind w:left="0" w:right="709"/>
        <w:jc w:val="both"/>
      </w:pPr>
      <w:r>
        <w:rPr>
          <w:rFonts w:ascii="Calibri" w:hAnsi="Calibri" w:cs="Arial"/>
          <w:rtl/>
          <w:sz w:val="24"/>
          <w:szCs w:val="24"/>
        </w:rPr>
        <w:t xml:space="preserve">4.2. يُسجل كل إجراء مع الشخص المسؤول والموعد النهائي في محضر مراجعة الإدارة وخطة العمل.</w:t>
      </w:r>
    </w:p>
    <w:p>
      <w:pPr>
        <w:pStyle w:val="ListeParagraf"/>
        <w:bidi/>
        <w:spacing w:after="80"/>
        <w:ind w:left="0" w:right="709"/>
        <w:jc w:val="both"/>
      </w:pPr>
      <w:r>
        <w:rPr>
          <w:rFonts w:ascii="Calibri" w:hAnsi="Calibri" w:cs="Arial"/>
          <w:rtl/>
          <w:sz w:val="24"/>
          <w:szCs w:val="24"/>
        </w:rPr>
        <w:t xml:space="preserve">4.3. يعتمد المدير العام المحضر ويُوزع على المشاركين خلال عشرة أيام عمل؛ وتُبلّغ النتائج ذات الصلة إلى الموظفين وممثلي العمال عبر لوحات الإعلانات واجتماعات الأقسام.</w:t>
      </w:r>
    </w:p>
    <w:p>
      <w:pPr>
        <w:pStyle w:val="ListeParagraf"/>
        <w:bidi/>
        <w:spacing w:after="80"/>
        <w:ind w:left="0" w:right="709"/>
        <w:jc w:val="both"/>
      </w:pPr>
      <w:r>
        <w:rPr>
          <w:rFonts w:ascii="Calibri" w:hAnsi="Calibri" w:cs="Arial"/>
          <w:rtl/>
          <w:sz w:val="24"/>
          <w:szCs w:val="24"/>
        </w:rPr>
        <w:t xml:space="preserve">4.4. تُسجل القرارات المتعلقة بتحديث السياسة والأهداف وتخصيص الموارد والتدريب والاستثمار مع النتائج المتوقعة.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w:t>
      </w:r>
    </w:p>
    <w:p>
      <w:pPr>
        <w:pStyle w:val="ListeParagraf"/>
        <w:bidi/>
        <w:spacing w:after="80"/>
        <w:ind w:left="0" w:right="709"/>
        <w:jc w:val="both"/>
      </w:pPr>
      <w:r>
        <w:rPr>
          <w:rFonts w:ascii="Calibri" w:hAnsi="Calibri" w:cs="Arial"/>
          <w:rtl/>
          <w:sz w:val="24"/>
          <w:szCs w:val="24"/>
        </w:rPr>
        <w:t xml:space="preserve">5.1. يتابع ممثل نظام الإدارة الإجراءات كل ثلاثة أشهر ويرفع الإجراءات المتأخرة إلى المدير العام.</w:t>
      </w:r>
    </w:p>
    <w:p>
      <w:pPr>
        <w:pStyle w:val="ListeParagraf"/>
        <w:bidi/>
        <w:spacing w:after="80"/>
        <w:ind w:left="0" w:right="709"/>
        <w:jc w:val="both"/>
      </w:pPr>
      <w:r>
        <w:rPr>
          <w:rFonts w:ascii="Calibri" w:hAnsi="Calibri" w:cs="Arial"/>
          <w:rtl/>
          <w:sz w:val="24"/>
          <w:szCs w:val="24"/>
        </w:rPr>
        <w:t xml:space="preserve">5.2. تكون حالة الإجراءات أول مدخل في مراجعة الإدارة التالية.</w:t>
      </w:r>
    </w:p>
    <w:p>
      <w:pPr>
        <w:pStyle w:val="ListeParagraf"/>
        <w:bidi/>
        <w:spacing w:after="80"/>
        <w:ind w:left="0" w:right="709"/>
        <w:jc w:val="both"/>
      </w:pPr>
      <w:r>
        <w:rPr>
          <w:rFonts w:ascii="Calibri" w:hAnsi="Calibri" w:cs="Arial"/>
          <w:rtl/>
          <w:sz w:val="24"/>
          <w:szCs w:val="24"/>
        </w:rPr>
        <w:t xml:space="preserve">5.3. يُتحقق من إغلاق الإجراء بالأدلة؛ ويُعاد تخطيط الإجراء غير الفعال. وتُحلل أسباب تأخر الإجراءات وتُعاد تنظيم المسؤوليات والموارد.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تُتابع المؤشرات التالية:</w:t>
      </w:r>
    </w:p>
    <w:p>
      <w:pPr>
        <w:pStyle w:val="ListeParagraf"/>
        <w:numPr>
          <w:ilvl w:val="0"/>
          <w:numId w:val="1"/>
        </w:numPr>
        <w:bidi/>
        <w:spacing w:after="60"/>
        <w:jc w:val="both"/>
      </w:pPr>
      <w:r>
        <w:rPr>
          <w:rFonts w:ascii="Calibri" w:hAnsi="Calibri" w:cs="Arial"/>
          <w:rtl/>
          <w:sz w:val="24"/>
          <w:szCs w:val="24"/>
        </w:rPr>
        <w:t xml:space="preserve">عقد مراجعة الإدارة وفق الخطة مع جميع المدخلات المطلوبة،</w:t>
      </w:r>
    </w:p>
    <w:p>
      <w:pPr>
        <w:pStyle w:val="ListeParagraf"/>
        <w:numPr>
          <w:ilvl w:val="0"/>
          <w:numId w:val="1"/>
        </w:numPr>
        <w:bidi/>
        <w:spacing w:after="60"/>
        <w:jc w:val="both"/>
      </w:pPr>
      <w:r>
        <w:rPr>
          <w:rFonts w:ascii="Calibri" w:hAnsi="Calibri" w:cs="Arial"/>
          <w:rtl/>
          <w:sz w:val="24"/>
          <w:szCs w:val="24"/>
        </w:rPr>
        <w:t xml:space="preserve">نسبة إجراءات المراجعة المنجزة في موعدها (الهدف: 90% على الأقل)،</w:t>
      </w:r>
    </w:p>
    <w:p>
      <w:pPr>
        <w:pStyle w:val="ListeParagraf"/>
        <w:numPr>
          <w:ilvl w:val="0"/>
          <w:numId w:val="1"/>
        </w:numPr>
        <w:bidi/>
        <w:spacing w:after="60"/>
        <w:jc w:val="both"/>
      </w:pPr>
      <w:r>
        <w:rPr>
          <w:rFonts w:ascii="Calibri" w:hAnsi="Calibri" w:cs="Arial"/>
          <w:rtl/>
          <w:sz w:val="24"/>
          <w:szCs w:val="24"/>
        </w:rPr>
        <w:t xml:space="preserve">عدد الأهداف المحققة مقارنة بالعام السابق.</w:t>
      </w:r>
    </w:p>
    <w:p>
      <w:pPr>
        <w:pStyle w:val="ListeParagraf"/>
        <w:bidi/>
        <w:spacing w:after="80"/>
        <w:ind w:left="0" w:right="709"/>
        <w:jc w:val="both"/>
      </w:pPr>
      <w:r>
        <w:rPr>
          <w:rFonts w:ascii="Calibri" w:hAnsi="Calibri" w:cs="Arial"/>
          <w:rtl/>
          <w:sz w:val="24"/>
          <w:szCs w:val="24"/>
        </w:rPr>
        <w:t xml:space="preserve">6.2. أمثلة على الأهداف، وتُحدّث وفق سياسة الشركة ومواصفات العملاء: مراجعة واحدة على الأقل سنويًا (مراجعتان حيث يُشترط)، وحضور الإدارة العليا 100%، واكتمال المدخلات الإلزامية 100%، وإصدار المحضر في المدة المحددة، وتحقيق 90% على الأقل من أهداف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حالات عدم المطابقة والإجراءات التصحيحية</w:t>
      </w:r>
    </w:p>
    <w:p>
      <w:pPr>
        <w:pStyle w:val="ListeParagraf"/>
        <w:bidi/>
        <w:spacing w:after="80"/>
        <w:ind w:left="0" w:right="709"/>
        <w:jc w:val="both"/>
      </w:pPr>
      <w:r>
        <w:rPr>
          <w:rFonts w:ascii="Calibri" w:hAnsi="Calibri" w:cs="Arial"/>
          <w:rtl/>
          <w:sz w:val="24"/>
          <w:szCs w:val="24"/>
        </w:rPr>
        <w:t xml:space="preserve">7.1. يُفتح إجراء تصحيحي (CAPA) عندما لا يُعقد الاجتماع وفق الخطة، أو ينقص مدخل إلزامي، أو يتأخر إجراء، أو لا تتحقق الأهداف، أو تكون هناك ملاحظة تدقيق خارجي على مراجعة الإدارة.</w:t>
      </w:r>
    </w:p>
    <w:p>
      <w:pPr>
        <w:pStyle w:val="ListeParagraf"/>
        <w:bidi/>
        <w:spacing w:after="80"/>
        <w:ind w:left="0" w:right="709"/>
        <w:jc w:val="both"/>
      </w:pPr>
      <w:r>
        <w:rPr>
          <w:rFonts w:ascii="Calibri" w:hAnsi="Calibri" w:cs="Arial"/>
          <w:rtl/>
          <w:sz w:val="24"/>
          <w:szCs w:val="24"/>
        </w:rPr>
        <w:t xml:space="preserve">7.2. يُستكمل المدخل الناقص فورًا ويُعاد تخطيط الاجتماع خلال 15 يومًا؛ ويُبلَّغ المدير العام في اليوم نفسه بأي انحراف حرج في الأداء.</w:t>
      </w:r>
    </w:p>
    <w:p>
      <w:pPr>
        <w:pStyle w:val="ListeParagraf"/>
        <w:bidi/>
        <w:spacing w:after="80"/>
        <w:ind w:left="0" w:right="709"/>
        <w:jc w:val="both"/>
      </w:pPr>
      <w:r>
        <w:rPr>
          <w:rFonts w:ascii="Calibri" w:hAnsi="Calibri" w:cs="Arial"/>
          <w:rtl/>
          <w:sz w:val="24"/>
          <w:szCs w:val="24"/>
        </w:rPr>
        <w:t xml:space="preserve">7.3. يُغلق الإجراء التصحيحي بالأدلة والتحقق من الفعالية، وتُعرض النتيجة في مراجعة الإدارة التالية.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نموذج مدخلات مراجعة الإدارة ونموذج مدخلات المراجعة (PRS-YGG-01، FRM-YGG-01)؛ تعليمات قائمة مدخلات المراجعة (TLM-YGG-01)</w:t>
      </w:r>
    </w:p>
    <w:p>
      <w:pPr>
        <w:pStyle w:val="ListeParagraf"/>
        <w:numPr>
          <w:ilvl w:val="0"/>
          <w:numId w:val="1"/>
        </w:numPr>
        <w:bidi/>
        <w:spacing w:after="60"/>
        <w:jc w:val="both"/>
      </w:pPr>
      <w:r>
        <w:rPr>
          <w:rFonts w:ascii="Calibri" w:hAnsi="Calibri" w:cs="Arial"/>
          <w:rtl/>
          <w:sz w:val="24"/>
          <w:szCs w:val="24"/>
        </w:rPr>
        <w:t xml:space="preserve">محضر مراجعة الإدارة وخطة العمل (FRM-YGG-02)؛ تعليمات إدارة الاجتماع وتسجيل القرارات (TLM-YGG-02)</w:t>
      </w:r>
    </w:p>
    <w:p>
      <w:pPr>
        <w:pStyle w:val="ListeParagraf"/>
        <w:numPr>
          <w:ilvl w:val="0"/>
          <w:numId w:val="1"/>
        </w:numPr>
        <w:bidi/>
        <w:spacing w:after="60"/>
        <w:jc w:val="both"/>
      </w:pPr>
      <w:r>
        <w:rPr>
          <w:rFonts w:ascii="Calibri" w:hAnsi="Calibri" w:cs="Arial"/>
          <w:rtl/>
          <w:sz w:val="24"/>
          <w:szCs w:val="24"/>
        </w:rPr>
        <w:t xml:space="preserve">نموذج متابعة الإجراءات (FRM-YGG-03)؛ تعليمات متابعة الإجراءات والأهداف (TLM-YGG-03)</w:t>
      </w:r>
    </w:p>
    <w:p>
      <w:pPr>
        <w:pStyle w:val="ListeParagraf"/>
        <w:numPr>
          <w:ilvl w:val="0"/>
          <w:numId w:val="1"/>
        </w:numPr>
        <w:bidi/>
        <w:spacing w:after="60"/>
        <w:jc w:val="both"/>
      </w:pPr>
      <w:r>
        <w:rPr>
          <w:rFonts w:ascii="Calibri" w:hAnsi="Calibri" w:cs="Arial"/>
          <w:rtl/>
          <w:sz w:val="24"/>
          <w:szCs w:val="24"/>
        </w:rPr>
        <w:t xml:space="preserve">قائمة الحضور وتقرير أهداف الجودة</w:t>
      </w:r>
    </w:p>
    <w:p>
      <w:pPr>
        <w:pStyle w:val="ListeParagraf"/>
        <w:numPr>
          <w:ilvl w:val="0"/>
          <w:numId w:val="1"/>
        </w:numPr>
        <w:bidi/>
        <w:spacing w:after="60"/>
        <w:jc w:val="both"/>
      </w:pPr>
      <w:r>
        <w:rPr>
          <w:rFonts w:ascii="Calibri" w:hAnsi="Calibri" w:cs="Arial"/>
          <w:rtl/>
          <w:sz w:val="24"/>
          <w:szCs w:val="24"/>
        </w:rPr>
        <w:t xml:space="preserve">EMS.YS.POL.11.01. سياسة نظام الإدارة المتكامل</w:t>
      </w:r>
    </w:p>
    <w:p>
      <w:pPr>
        <w:pStyle w:val="ListeParagraf"/>
        <w:numPr>
          <w:ilvl w:val="0"/>
          <w:numId w:val="1"/>
        </w:numPr>
        <w:bidi/>
        <w:spacing w:after="60"/>
        <w:jc w:val="both"/>
      </w:pPr>
      <w:r>
        <w:rPr>
          <w:rFonts w:ascii="Calibri" w:hAnsi="Calibri" w:cs="Arial"/>
          <w:rtl/>
          <w:sz w:val="24"/>
          <w:szCs w:val="24"/>
        </w:rPr>
        <w:t xml:space="preserve">EMS.YS.PRO.11.02. إجراء التدقيق الداخلي وعدم المطابقة والإجراء التصحيحي</w:t>
      </w:r>
    </w:p>
    <w:p>
      <w:pPr>
        <w:pStyle w:val="ListeParagraf"/>
        <w:numPr>
          <w:ilvl w:val="0"/>
          <w:numId w:val="1"/>
        </w:numPr>
        <w:bidi/>
        <w:spacing w:after="60"/>
        <w:jc w:val="both"/>
      </w:pPr>
      <w:r>
        <w:rPr>
          <w:rFonts w:ascii="Calibri" w:hAnsi="Calibri" w:cs="Arial"/>
          <w:rtl/>
          <w:sz w:val="24"/>
          <w:szCs w:val="24"/>
        </w:rPr>
        <w:t xml:space="preserve">EMS.YS.PRO.11.03. إجراء سياق المنظمة والأطراف المعنية</w:t>
      </w:r>
    </w:p>
    <w:p>
      <w:pPr>
        <w:pStyle w:val="ListeParagraf"/>
        <w:numPr>
          <w:ilvl w:val="0"/>
          <w:numId w:val="1"/>
        </w:numPr>
        <w:bidi/>
        <w:spacing w:after="60"/>
        <w:jc w:val="both"/>
      </w:pPr>
      <w:r>
        <w:rPr>
          <w:rFonts w:ascii="Calibri" w:hAnsi="Calibri" w:cs="Arial"/>
          <w:rtl/>
          <w:sz w:val="24"/>
          <w:szCs w:val="24"/>
        </w:rPr>
        <w:t xml:space="preserve">EMS.YS.PRO.11.04. إجراء المخاطر والفرص</w:t>
      </w:r>
    </w:p>
    <w:p>
      <w:pPr>
        <w:pStyle w:val="ListeParagraf"/>
        <w:numPr>
          <w:ilvl w:val="0"/>
          <w:numId w:val="1"/>
        </w:numPr>
        <w:bidi/>
        <w:spacing w:after="60"/>
        <w:jc w:val="both"/>
      </w:pPr>
      <w:r>
        <w:rPr>
          <w:rFonts w:ascii="Calibri" w:hAnsi="Calibri" w:cs="Arial"/>
          <w:rtl/>
          <w:sz w:val="24"/>
          <w:szCs w:val="24"/>
        </w:rPr>
        <w:t xml:space="preserve">EMS.İS.PRO.18.21. إجراء مراجعة الإدارة (السلامة والصحة المهنية)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ممثل نظام الإدارة. وتُقيّم ملاحظات المشاركين ونتائج التدقيق، ويُعدل الإجراء عند الحاجة.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Kalite Güvence Müdürü  ..........................    Kalite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MANAGEMENT REVIEW PROCEDURE</w:t>
          </w:r>
        </w:p>
        <w:p>
          <w:pPr>
            <w:pStyle w:val="GvdeMetni2"/>
            <w:bidi/>
            <w:spacing w:line="276" w:lineRule="auto"/>
            <w:jc w:val="center"/>
          </w:pPr>
          <w:r>
            <w:rPr>
              <w:rFonts w:asciiTheme="minorHAnsi" w:hAnsiTheme="minorHAnsi" w:cs="Arial"/>
              <w:b/>
              <w:bCs/>
              <w:color w:val="000000" w:themeColor="text1"/>
              <w:sz w:val="22"/>
              <w:szCs w:val="22"/>
              <w:rtl/>
            </w:rPr>
            <w:t>إجراء مراجعة الإدارة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EMS.YS.PRO.11.05.</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EMS.YS.PRO.11.05. MANAGEMENT REVIEW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