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identifies the environmental aspects of its activities, products and services, evaluates their impacts, determines the significant aspects and plans actions to control them, in line with ISO 14001.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activities carried out in the EMS facility and under its control, including:</w:t>
      </w:r>
    </w:p>
    <w:p>
      <w:pPr>
        <w:pStyle w:val="ListeParagraf"/>
        <w:spacing w:after="80"/>
        <w:ind w:left="709" w:right="0"/>
        <w:jc w:val="both"/>
      </w:pPr>
      <w:r>
        <w:rPr>
          <w:rFonts w:ascii="Calibri" w:hAnsi="Calibri" w:cs="Arial"/>
          <w:sz w:val="24"/>
          <w:szCs w:val="24"/>
        </w:rPr>
        <w:t xml:space="preserve">• Knitting, dyeing and finishing, cutting, sewing, printing, embroidery, packing and warehousing,</w:t>
      </w:r>
    </w:p>
    <w:p>
      <w:pPr>
        <w:pStyle w:val="ListeParagraf"/>
        <w:spacing w:after="80"/>
        <w:ind w:left="709" w:right="0"/>
        <w:jc w:val="both"/>
      </w:pPr>
      <w:r>
        <w:rPr>
          <w:rFonts w:ascii="Calibri" w:hAnsi="Calibri" w:cs="Arial"/>
          <w:sz w:val="24"/>
          <w:szCs w:val="24"/>
        </w:rPr>
        <w:t xml:space="preserve">• Utilities: boilers, compressors, generators, effluent treatment plant (ETP), chemical stores and workshops,</w:t>
      </w:r>
    </w:p>
    <w:p>
      <w:pPr>
        <w:pStyle w:val="ListeParagraf"/>
        <w:spacing w:after="80"/>
        <w:ind w:left="709" w:right="0"/>
        <w:jc w:val="both"/>
      </w:pPr>
      <w:r>
        <w:rPr>
          <w:rFonts w:ascii="Calibri" w:hAnsi="Calibri" w:cs="Arial"/>
          <w:sz w:val="24"/>
          <w:szCs w:val="24"/>
        </w:rPr>
        <w:t xml:space="preserve">• Activities of contractors, transport services and waste collectors working on behalf of EMS.</w:t>
      </w:r>
    </w:p>
    <w:p>
      <w:pPr>
        <w:pStyle w:val="ListeParagraf"/>
        <w:spacing w:after="80"/>
        <w:ind w:left="709" w:right="0"/>
        <w:jc w:val="both"/>
      </w:pPr>
      <w:r>
        <w:rPr>
          <w:rFonts w:ascii="Calibri" w:hAnsi="Calibri" w:cs="Arial"/>
          <w:sz w:val="24"/>
          <w:szCs w:val="24"/>
        </w:rPr>
        <w:t xml:space="preserve">It considers normal, abnormal (start-up, shut-down, maintenance) and emergency conditions, and a life-cycle perspective.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Provides resources and approves the list of significant environmental aspects and the related objectives.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Coordinates the identification and evaluation of aspects, keeps the register up to date and follows the action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Identify the aspects of their areas together with the Environmental Officer and apply the operational controls.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environmental instructions and report spills, leaks and other environmental abnormalities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Aspect:</w:t>
      </w:r>
      <w:r>
        <w:rPr>
          <w:rFonts w:ascii="Calibri" w:hAnsi="Calibri" w:cs="Arial"/>
          <w:sz w:val="24"/>
          <w:szCs w:val="24"/>
        </w:rPr>
        <w:t xml:space="preserve"> An element of an activity, product or service that interacts or can interact with the environment (for example water consumption, effluent discharge, steam generation).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Impact:</w:t>
      </w:r>
      <w:r>
        <w:rPr>
          <w:rFonts w:ascii="Calibri" w:hAnsi="Calibri" w:cs="Arial"/>
          <w:sz w:val="24"/>
          <w:szCs w:val="24"/>
        </w:rPr>
        <w:t xml:space="preserve"> Any change to the environment, adverse or beneficial, resulting wholly or partially from an environmental aspect.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Significant Aspect:</w:t>
      </w:r>
      <w:r>
        <w:rPr>
          <w:rFonts w:ascii="Calibri" w:hAnsi="Calibri" w:cs="Arial"/>
          <w:sz w:val="24"/>
          <w:szCs w:val="24"/>
        </w:rPr>
        <w:t xml:space="preserve"> An aspect that has or can have a significant environmental impact, as determined by the evaluation criteria of this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 OF ASPECTS</w:t>
      </w:r>
    </w:p>
    <w:p>
      <w:pPr>
        <w:pStyle w:val="ListeParagraf"/>
        <w:spacing w:after="80"/>
        <w:ind w:left="709" w:right="0"/>
        <w:jc w:val="both"/>
      </w:pPr>
      <w:r>
        <w:rPr>
          <w:rFonts w:ascii="Calibri" w:hAnsi="Calibri" w:cs="Arial"/>
          <w:sz w:val="24"/>
          <w:szCs w:val="24"/>
        </w:rPr>
        <w:t xml:space="preserve">1.1. For each department, the process flow is reviewed step by step and the inputs (water, energy, chemicals, raw materials) and outputs (effluent, emissions, noise, waste) are listed.</w:t>
      </w:r>
    </w:p>
    <w:p>
      <w:pPr>
        <w:pStyle w:val="ListeParagraf"/>
        <w:spacing w:after="80"/>
        <w:ind w:left="709" w:right="0"/>
        <w:jc w:val="both"/>
      </w:pPr>
      <w:r>
        <w:rPr>
          <w:rFonts w:ascii="Calibri" w:hAnsi="Calibri" w:cs="Arial"/>
          <w:sz w:val="24"/>
          <w:szCs w:val="24"/>
        </w:rPr>
        <w:t xml:space="preserve">1.2. Aspects are identified for normal, abnormal and emergency conditions, including direct aspects and indirect aspects that EMS can influence (suppliers, contractors, transport).</w:t>
      </w:r>
    </w:p>
    <w:p>
      <w:pPr>
        <w:pStyle w:val="ListeParagraf"/>
        <w:spacing w:after="80"/>
        <w:ind w:left="709" w:right="0"/>
        <w:jc w:val="both"/>
      </w:pPr>
      <w:r>
        <w:rPr>
          <w:rFonts w:ascii="Calibri" w:hAnsi="Calibri" w:cs="Arial"/>
          <w:sz w:val="24"/>
          <w:szCs w:val="24"/>
        </w:rPr>
        <w:t xml:space="preserve">1.3. The results are recorded in the Environmental Aspects and Impacts Register with the related legal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EVALUATION OF SIGNIFICANCE</w:t>
      </w:r>
    </w:p>
    <w:p>
      <w:pPr>
        <w:pStyle w:val="ListeParagraf"/>
        <w:spacing w:after="80"/>
        <w:ind w:left="709" w:right="0"/>
        <w:jc w:val="both"/>
      </w:pPr>
      <w:r>
        <w:rPr>
          <w:rFonts w:ascii="Calibri" w:hAnsi="Calibri" w:cs="Arial"/>
          <w:sz w:val="24"/>
          <w:szCs w:val="24"/>
        </w:rPr>
        <w:t xml:space="preserve">2.1. Each aspect is scored using the following criteria on a scale of 1 to 5:</w:t>
      </w:r>
    </w:p>
    <w:p>
      <w:pPr>
        <w:pStyle w:val="ListeParagraf"/>
        <w:numPr>
          <w:ilvl w:val="0"/>
          <w:numId w:val="1"/>
        </w:numPr>
        <w:spacing w:after="60"/>
        <w:jc w:val="both"/>
      </w:pPr>
      <w:r>
        <w:rPr>
          <w:rFonts w:ascii="Calibri" w:hAnsi="Calibri" w:cs="Arial"/>
          <w:sz w:val="24"/>
          <w:szCs w:val="24"/>
        </w:rPr>
        <w:t xml:space="preserve">Severity of the impact on air, water, soil, resources and the community,</w:t>
      </w:r>
    </w:p>
    <w:p>
      <w:pPr>
        <w:pStyle w:val="ListeParagraf"/>
        <w:numPr>
          <w:ilvl w:val="0"/>
          <w:numId w:val="1"/>
        </w:numPr>
        <w:spacing w:after="60"/>
        <w:jc w:val="both"/>
      </w:pPr>
      <w:r>
        <w:rPr>
          <w:rFonts w:ascii="Calibri" w:hAnsi="Calibri" w:cs="Arial"/>
          <w:sz w:val="24"/>
          <w:szCs w:val="24"/>
        </w:rPr>
        <w:t xml:space="preserve">Probability or frequency of occurrence,</w:t>
      </w:r>
    </w:p>
    <w:p>
      <w:pPr>
        <w:pStyle w:val="ListeParagraf"/>
        <w:numPr>
          <w:ilvl w:val="0"/>
          <w:numId w:val="1"/>
        </w:numPr>
        <w:spacing w:after="60"/>
        <w:jc w:val="both"/>
      </w:pPr>
      <w:r>
        <w:rPr>
          <w:rFonts w:ascii="Calibri" w:hAnsi="Calibri" w:cs="Arial"/>
          <w:sz w:val="24"/>
          <w:szCs w:val="24"/>
        </w:rPr>
        <w:t xml:space="preserve">Legal requirements and customer requirements (e.g. ZDHC, Higg FEM),</w:t>
      </w:r>
    </w:p>
    <w:p>
      <w:pPr>
        <w:pStyle w:val="ListeParagraf"/>
        <w:numPr>
          <w:ilvl w:val="0"/>
          <w:numId w:val="1"/>
        </w:numPr>
        <w:spacing w:after="60"/>
        <w:jc w:val="both"/>
      </w:pPr>
      <w:r>
        <w:rPr>
          <w:rFonts w:ascii="Calibri" w:hAnsi="Calibri" w:cs="Arial"/>
          <w:sz w:val="24"/>
          <w:szCs w:val="24"/>
        </w:rPr>
        <w:t xml:space="preserve">Concerns of interested parties (neighbours, authorities, brands).</w:t>
      </w:r>
    </w:p>
    <w:p>
      <w:pPr>
        <w:pStyle w:val="ListeParagraf"/>
        <w:spacing w:after="80"/>
        <w:ind w:left="709" w:right="0"/>
        <w:jc w:val="both"/>
      </w:pPr>
      <w:r>
        <w:rPr>
          <w:rFonts w:ascii="Calibri" w:hAnsi="Calibri" w:cs="Arial"/>
          <w:sz w:val="24"/>
          <w:szCs w:val="24"/>
        </w:rPr>
        <w:t xml:space="preserve">2.2. Significance score = Severity × Probability; aspects with a score of 12 or above, or any aspect subject to a legal limit or a customer requirement, are classified as significant.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CONTROL OF SIGNIFICANT ASPECTS</w:t>
      </w:r>
    </w:p>
    <w:p>
      <w:pPr>
        <w:pStyle w:val="ListeParagraf"/>
        <w:spacing w:after="80"/>
        <w:ind w:left="709" w:right="0"/>
        <w:jc w:val="both"/>
      </w:pPr>
      <w:r>
        <w:rPr>
          <w:rFonts w:ascii="Calibri" w:hAnsi="Calibri" w:cs="Arial"/>
          <w:sz w:val="24"/>
          <w:szCs w:val="24"/>
        </w:rPr>
        <w:t xml:space="preserve">3.1. For each significant aspect, one or more of the following controls is defined: environmental objective and target, operational control procedure or instruction, monitoring and measurement, emergency preparedness and training.</w:t>
      </w:r>
    </w:p>
    <w:p>
      <w:pPr>
        <w:pStyle w:val="ListeParagraf"/>
        <w:spacing w:after="80"/>
        <w:ind w:left="709" w:right="0"/>
        <w:jc w:val="both"/>
      </w:pPr>
      <w:r>
        <w:rPr>
          <w:rFonts w:ascii="Calibri" w:hAnsi="Calibri" w:cs="Arial"/>
          <w:sz w:val="24"/>
          <w:szCs w:val="24"/>
        </w:rPr>
        <w:t xml:space="preserve">3.2. Environmental objectives (e.g. reduction of water use per kg of fabric) are set and followed according to EMS.SR.PRO.16.01.</w:t>
      </w:r>
    </w:p>
    <w:p>
      <w:pPr>
        <w:pStyle w:val="ListeParagraf"/>
        <w:spacing w:after="80"/>
        <w:ind w:left="709" w:right="0"/>
        <w:jc w:val="both"/>
      </w:pPr>
      <w:r>
        <w:rPr>
          <w:rFonts w:ascii="Calibri" w:hAnsi="Calibri" w:cs="Arial"/>
          <w:sz w:val="24"/>
          <w:szCs w:val="24"/>
        </w:rPr>
        <w:t xml:space="preserve">3.3. Significant aspects are communicated to the related employees and contractors during orientation and toolbox talks.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REVIEW AND UPDATE</w:t>
      </w:r>
    </w:p>
    <w:p>
      <w:pPr>
        <w:pStyle w:val="ListeParagraf"/>
        <w:spacing w:after="80"/>
        <w:ind w:left="709" w:right="0"/>
        <w:jc w:val="both"/>
      </w:pPr>
      <w:r>
        <w:rPr>
          <w:rFonts w:ascii="Calibri" w:hAnsi="Calibri" w:cs="Arial"/>
          <w:sz w:val="24"/>
          <w:szCs w:val="24"/>
        </w:rPr>
        <w:t xml:space="preserve">4.1. The register is reviewed at least once a year, and also when:</w:t>
      </w:r>
    </w:p>
    <w:p>
      <w:pPr>
        <w:pStyle w:val="ListeParagraf"/>
        <w:numPr>
          <w:ilvl w:val="0"/>
          <w:numId w:val="1"/>
        </w:numPr>
        <w:spacing w:after="60"/>
        <w:jc w:val="both"/>
      </w:pPr>
      <w:r>
        <w:rPr>
          <w:rFonts w:ascii="Calibri" w:hAnsi="Calibri" w:cs="Arial"/>
          <w:sz w:val="24"/>
          <w:szCs w:val="24"/>
        </w:rPr>
        <w:t xml:space="preserve">A new process, machine, chemical or building is introduced,</w:t>
      </w:r>
    </w:p>
    <w:p>
      <w:pPr>
        <w:pStyle w:val="ListeParagraf"/>
        <w:numPr>
          <w:ilvl w:val="0"/>
          <w:numId w:val="1"/>
        </w:numPr>
        <w:spacing w:after="60"/>
        <w:jc w:val="both"/>
      </w:pPr>
      <w:r>
        <w:rPr>
          <w:rFonts w:ascii="Calibri" w:hAnsi="Calibri" w:cs="Arial"/>
          <w:sz w:val="24"/>
          <w:szCs w:val="24"/>
        </w:rPr>
        <w:t xml:space="preserve">Legal or customer requirements change,</w:t>
      </w:r>
    </w:p>
    <w:p>
      <w:pPr>
        <w:pStyle w:val="ListeParagraf"/>
        <w:numPr>
          <w:ilvl w:val="0"/>
          <w:numId w:val="1"/>
        </w:numPr>
        <w:spacing w:after="60"/>
        <w:jc w:val="both"/>
      </w:pPr>
      <w:r>
        <w:rPr>
          <w:rFonts w:ascii="Calibri" w:hAnsi="Calibri" w:cs="Arial"/>
          <w:sz w:val="24"/>
          <w:szCs w:val="24"/>
        </w:rPr>
        <w:t xml:space="preserve">An environmental incident or complaint occurs.</w:t>
      </w:r>
    </w:p>
    <w:p>
      <w:pPr>
        <w:pStyle w:val="ListeParagraf"/>
        <w:spacing w:after="80"/>
        <w:ind w:left="709" w:right="0"/>
        <w:jc w:val="both"/>
      </w:pPr>
      <w:r>
        <w:rPr>
          <w:rFonts w:ascii="Calibri" w:hAnsi="Calibri" w:cs="Arial"/>
          <w:sz w:val="24"/>
          <w:szCs w:val="24"/>
        </w:rPr>
        <w:t xml:space="preserve">4.2. Changes are assessed before implementation according to EMS.YS.PRO.11.04.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Environmental Officer reports the following indicators to the management review:</w:t>
      </w:r>
    </w:p>
    <w:p>
      <w:pPr>
        <w:pStyle w:val="ListeParagraf"/>
        <w:numPr>
          <w:ilvl w:val="0"/>
          <w:numId w:val="1"/>
        </w:numPr>
        <w:spacing w:after="60"/>
        <w:jc w:val="both"/>
      </w:pPr>
      <w:r>
        <w:rPr>
          <w:rFonts w:ascii="Calibri" w:hAnsi="Calibri" w:cs="Arial"/>
          <w:sz w:val="24"/>
          <w:szCs w:val="24"/>
        </w:rPr>
        <w:t xml:space="preserve">Number of significant aspects and status of related action plans (%),</w:t>
      </w:r>
    </w:p>
    <w:p>
      <w:pPr>
        <w:pStyle w:val="ListeParagraf"/>
        <w:numPr>
          <w:ilvl w:val="0"/>
          <w:numId w:val="1"/>
        </w:numPr>
        <w:spacing w:after="60"/>
        <w:jc w:val="both"/>
      </w:pPr>
      <w:r>
        <w:rPr>
          <w:rFonts w:ascii="Calibri" w:hAnsi="Calibri" w:cs="Arial"/>
          <w:sz w:val="24"/>
          <w:szCs w:val="24"/>
        </w:rPr>
        <w:t xml:space="preserve">Achievement of environmental objectives,</w:t>
      </w:r>
    </w:p>
    <w:p>
      <w:pPr>
        <w:pStyle w:val="ListeParagraf"/>
        <w:numPr>
          <w:ilvl w:val="0"/>
          <w:numId w:val="1"/>
        </w:numPr>
        <w:spacing w:after="60"/>
        <w:jc w:val="both"/>
      </w:pPr>
      <w:r>
        <w:rPr>
          <w:rFonts w:ascii="Calibri" w:hAnsi="Calibri" w:cs="Arial"/>
          <w:sz w:val="24"/>
          <w:szCs w:val="24"/>
        </w:rPr>
        <w:t xml:space="preserve">Number of environmental incidents and complaints.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Environmental Aspects and Impacts Register</w:t>
      </w:r>
    </w:p>
    <w:p>
      <w:pPr>
        <w:pStyle w:val="ListeParagraf"/>
        <w:numPr>
          <w:ilvl w:val="0"/>
          <w:numId w:val="1"/>
        </w:numPr>
        <w:spacing w:after="60"/>
        <w:jc w:val="both"/>
      </w:pPr>
      <w:r>
        <w:rPr>
          <w:rFonts w:ascii="Calibri" w:hAnsi="Calibri" w:cs="Arial"/>
          <w:sz w:val="24"/>
          <w:szCs w:val="24"/>
        </w:rPr>
        <w:t xml:space="preserve">Environmental Objectives and Action Plans</w:t>
      </w:r>
    </w:p>
    <w:p>
      <w:pPr>
        <w:pStyle w:val="ListeParagraf"/>
        <w:numPr>
          <w:ilvl w:val="0"/>
          <w:numId w:val="1"/>
        </w:numPr>
        <w:spacing w:after="60"/>
        <w:jc w:val="both"/>
      </w:pPr>
      <w:r>
        <w:rPr>
          <w:rFonts w:ascii="Calibri" w:hAnsi="Calibri" w:cs="Arial"/>
          <w:sz w:val="24"/>
          <w:szCs w:val="24"/>
        </w:rPr>
        <w:t xml:space="preserve">EMS.HK.PRO.17.01. Identification and Evaluation of Legal Requirements Procedure</w:t>
      </w:r>
    </w:p>
    <w:p>
      <w:pPr>
        <w:pStyle w:val="ListeParagraf"/>
        <w:numPr>
          <w:ilvl w:val="0"/>
          <w:numId w:val="1"/>
        </w:numPr>
        <w:spacing w:after="60"/>
        <w:jc w:val="both"/>
      </w:pPr>
      <w:r>
        <w:rPr>
          <w:rFonts w:ascii="Calibri" w:hAnsi="Calibri" w:cs="Arial"/>
          <w:sz w:val="24"/>
          <w:szCs w:val="24"/>
        </w:rPr>
        <w:t xml:space="preserve">EMS.YS.PRO.11.03. Context of the Organization and Interested Parties Procedure</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numPr>
          <w:ilvl w:val="0"/>
          <w:numId w:val="1"/>
        </w:numPr>
        <w:spacing w:after="60"/>
        <w:jc w:val="both"/>
      </w:pPr>
      <w:r>
        <w:rPr>
          <w:rFonts w:ascii="Calibri" w:hAnsi="Calibri" w:cs="Arial"/>
          <w:sz w:val="24"/>
          <w:szCs w:val="24"/>
        </w:rPr>
        <w:t xml:space="preserve">EMS.ÇV.PRO.19.03. Air Emissions and Noise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Environmental Officer. Results of audits, incidents and suggestions from employees and interested parties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بتحديد الجوانب البيئية لأنشطتها ومنتجاتها وخدماتها، وتقييم تأثيراتها، وتحديد الجوانب الهامة، وتخطيط الإجراءات اللازمة للتحكم فيها، بما يتوافق مع ISO 14001.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الأنشطة المنفذة في منشأة EMS أو الخاضعة لسيطرتها، بما في ذلك:</w:t>
      </w:r>
    </w:p>
    <w:p>
      <w:pPr>
        <w:pStyle w:val="ListeParagraf"/>
        <w:bidi/>
        <w:spacing w:after="80"/>
        <w:ind w:left="0" w:right="709"/>
        <w:jc w:val="both"/>
      </w:pPr>
      <w:r>
        <w:rPr>
          <w:rFonts w:ascii="Calibri" w:hAnsi="Calibri" w:cs="Arial"/>
          <w:rtl/>
          <w:sz w:val="24"/>
          <w:szCs w:val="24"/>
        </w:rPr>
        <w:t xml:space="preserve">• التريكو والصباغة والتجهيز والقص والخياطة والطباعة والتطريز والتعبئة والتخزين،</w:t>
      </w:r>
    </w:p>
    <w:p>
      <w:pPr>
        <w:pStyle w:val="ListeParagraf"/>
        <w:bidi/>
        <w:spacing w:after="80"/>
        <w:ind w:left="0" w:right="709"/>
        <w:jc w:val="both"/>
      </w:pPr>
      <w:r>
        <w:rPr>
          <w:rFonts w:ascii="Calibri" w:hAnsi="Calibri" w:cs="Arial"/>
          <w:rtl/>
          <w:sz w:val="24"/>
          <w:szCs w:val="24"/>
        </w:rPr>
        <w:t xml:space="preserve">• المرافق: الغلايات والضواغط والمولدات ومحطة معالجة مياه الصرف (ETP) ومخازن الكيماويات والورش،</w:t>
      </w:r>
    </w:p>
    <w:p>
      <w:pPr>
        <w:pStyle w:val="ListeParagraf"/>
        <w:bidi/>
        <w:spacing w:after="80"/>
        <w:ind w:left="0" w:right="709"/>
        <w:jc w:val="both"/>
      </w:pPr>
      <w:r>
        <w:rPr>
          <w:rFonts w:ascii="Calibri" w:hAnsi="Calibri" w:cs="Arial"/>
          <w:rtl/>
          <w:sz w:val="24"/>
          <w:szCs w:val="24"/>
        </w:rPr>
        <w:t xml:space="preserve">• أنشطة المقاولين وخدمات النقل وجامعي النفايات العاملين نيابة عن EMS.</w:t>
      </w:r>
    </w:p>
    <w:p>
      <w:pPr>
        <w:pStyle w:val="ListeParagraf"/>
        <w:bidi/>
        <w:spacing w:after="80"/>
        <w:ind w:left="0" w:right="709"/>
        <w:jc w:val="both"/>
      </w:pPr>
      <w:r>
        <w:rPr>
          <w:rFonts w:ascii="Calibri" w:hAnsi="Calibri" w:cs="Arial"/>
          <w:rtl/>
          <w:sz w:val="24"/>
          <w:szCs w:val="24"/>
        </w:rPr>
        <w:t xml:space="preserve">ويأخذ في الاعتبار الظروف العادية وغير العادية (بدء التشغيل والإيقاف والصيانة) وحالات الطوارئ، ومنظور دورة الحياة.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يوفر الموارد ويعتمد قائمة الجوانب البيئية الهامة والأهداف المرتبطة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ينسق تحديد الجوانب وتقييمها، ويحافظ على تحديث السجل، ويتابع خطط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يحددون الجوانب البيئية لمناطقهم بالتعاون مع مسؤول البيئة ويطبقون الضوابط التشغيلية.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يلتزمون بالتعليمات البيئية ويبلغون فورًا عن الانسكابات والتسربات وأي خلل بيئي آخر.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الجانب البيئي:</w:t>
      </w:r>
      <w:r>
        <w:rPr>
          <w:rFonts w:ascii="Calibri" w:hAnsi="Calibri" w:cs="Arial"/>
          <w:rtl/>
          <w:sz w:val="24"/>
          <w:szCs w:val="24"/>
        </w:rPr>
        <w:t xml:space="preserve"> عنصر من نشاط أو منتج أو خدمة يتفاعل أو يمكن أن يتفاعل مع البيئة (مثل استهلاك المياه وتصريف مياه الصرف وتوليد البخار).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التأثير البيئي:</w:t>
      </w:r>
      <w:r>
        <w:rPr>
          <w:rFonts w:ascii="Calibri" w:hAnsi="Calibri" w:cs="Arial"/>
          <w:rtl/>
          <w:sz w:val="24"/>
          <w:szCs w:val="24"/>
        </w:rPr>
        <w:t xml:space="preserve"> أي تغيير يطرأ على البيئة، سلبيًا كان أو إيجابيًا، ينتج كليًا أو جزئيًا عن جانب 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الجانب الهام:</w:t>
      </w:r>
      <w:r>
        <w:rPr>
          <w:rFonts w:ascii="Calibri" w:hAnsi="Calibri" w:cs="Arial"/>
          <w:rtl/>
          <w:sz w:val="24"/>
          <w:szCs w:val="24"/>
        </w:rPr>
        <w:t xml:space="preserve"> جانب له أو قد يكون له تأثير بيئي كبير، وفقًا لمعايير التقييم الواردة في هذا الإجراء.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الجوانب</w:t>
      </w:r>
    </w:p>
    <w:p>
      <w:pPr>
        <w:pStyle w:val="ListeParagraf"/>
        <w:bidi/>
        <w:spacing w:after="80"/>
        <w:ind w:left="0" w:right="709"/>
        <w:jc w:val="both"/>
      </w:pPr>
      <w:r>
        <w:rPr>
          <w:rFonts w:ascii="Calibri" w:hAnsi="Calibri" w:cs="Arial"/>
          <w:rtl/>
          <w:sz w:val="24"/>
          <w:szCs w:val="24"/>
        </w:rPr>
        <w:t xml:space="preserve">1.1. يُراجع مخطط سير العمليات لكل قسم خطوة بخطوة، وتُدرج المدخلات (المياه والطاقة والكيماويات والمواد الخام) والمخرجات (مياه الصرف والانبعاثات والضوضاء والنفايات).</w:t>
      </w:r>
    </w:p>
    <w:p>
      <w:pPr>
        <w:pStyle w:val="ListeParagraf"/>
        <w:bidi/>
        <w:spacing w:after="80"/>
        <w:ind w:left="0" w:right="709"/>
        <w:jc w:val="both"/>
      </w:pPr>
      <w:r>
        <w:rPr>
          <w:rFonts w:ascii="Calibri" w:hAnsi="Calibri" w:cs="Arial"/>
          <w:rtl/>
          <w:sz w:val="24"/>
          <w:szCs w:val="24"/>
        </w:rPr>
        <w:t xml:space="preserve">1.2. تُحدد الجوانب في الظروف العادية وغير العادية وحالات الطوارئ، بما في ذلك الجوانب المباشرة والجوانب غير المباشرة التي يمكن لـ EMS التأثير فيها (الموردون والمقاولون والنقل).</w:t>
      </w:r>
    </w:p>
    <w:p>
      <w:pPr>
        <w:pStyle w:val="ListeParagraf"/>
        <w:bidi/>
        <w:spacing w:after="80"/>
        <w:ind w:left="0" w:right="709"/>
        <w:jc w:val="both"/>
      </w:pPr>
      <w:r>
        <w:rPr>
          <w:rFonts w:ascii="Calibri" w:hAnsi="Calibri" w:cs="Arial"/>
          <w:rtl/>
          <w:sz w:val="24"/>
          <w:szCs w:val="24"/>
        </w:rPr>
        <w:t xml:space="preserve">1.3. تُسجل النتائج في سجل الجوانب والتأثيرات البيئية مع المتطلبات القانونية ذات الصلة.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تقييم الأهمية</w:t>
      </w:r>
    </w:p>
    <w:p>
      <w:pPr>
        <w:pStyle w:val="ListeParagraf"/>
        <w:bidi/>
        <w:spacing w:after="80"/>
        <w:ind w:left="0" w:right="709"/>
        <w:jc w:val="both"/>
      </w:pPr>
      <w:r>
        <w:rPr>
          <w:rFonts w:ascii="Calibri" w:hAnsi="Calibri" w:cs="Arial"/>
          <w:rtl/>
          <w:sz w:val="24"/>
          <w:szCs w:val="24"/>
        </w:rPr>
        <w:t xml:space="preserve">2.1. يُقيّم كل جانب باستخدام المعايير التالية على مقياس من 1 إلى 5:</w:t>
      </w:r>
    </w:p>
    <w:p>
      <w:pPr>
        <w:pStyle w:val="ListeParagraf"/>
        <w:numPr>
          <w:ilvl w:val="0"/>
          <w:numId w:val="1"/>
        </w:numPr>
        <w:bidi/>
        <w:spacing w:after="60"/>
        <w:jc w:val="both"/>
      </w:pPr>
      <w:r>
        <w:rPr>
          <w:rFonts w:ascii="Calibri" w:hAnsi="Calibri" w:cs="Arial"/>
          <w:rtl/>
          <w:sz w:val="24"/>
          <w:szCs w:val="24"/>
        </w:rPr>
        <w:t xml:space="preserve">شدة التأثير على الهواء والمياه والتربة والموارد والمجتمع،</w:t>
      </w:r>
    </w:p>
    <w:p>
      <w:pPr>
        <w:pStyle w:val="ListeParagraf"/>
        <w:numPr>
          <w:ilvl w:val="0"/>
          <w:numId w:val="1"/>
        </w:numPr>
        <w:bidi/>
        <w:spacing w:after="60"/>
        <w:jc w:val="both"/>
      </w:pPr>
      <w:r>
        <w:rPr>
          <w:rFonts w:ascii="Calibri" w:hAnsi="Calibri" w:cs="Arial"/>
          <w:rtl/>
          <w:sz w:val="24"/>
          <w:szCs w:val="24"/>
        </w:rPr>
        <w:t xml:space="preserve">احتمالية الحدوث أو تكراره،</w:t>
      </w:r>
    </w:p>
    <w:p>
      <w:pPr>
        <w:pStyle w:val="ListeParagraf"/>
        <w:numPr>
          <w:ilvl w:val="0"/>
          <w:numId w:val="1"/>
        </w:numPr>
        <w:bidi/>
        <w:spacing w:after="60"/>
        <w:jc w:val="both"/>
      </w:pPr>
      <w:r>
        <w:rPr>
          <w:rFonts w:ascii="Calibri" w:hAnsi="Calibri" w:cs="Arial"/>
          <w:rtl/>
          <w:sz w:val="24"/>
          <w:szCs w:val="24"/>
        </w:rPr>
        <w:t xml:space="preserve">المتطلبات القانونية ومتطلبات العملاء (مثل ZDHC وHigg FEM)،</w:t>
      </w:r>
    </w:p>
    <w:p>
      <w:pPr>
        <w:pStyle w:val="ListeParagraf"/>
        <w:numPr>
          <w:ilvl w:val="0"/>
          <w:numId w:val="1"/>
        </w:numPr>
        <w:bidi/>
        <w:spacing w:after="60"/>
        <w:jc w:val="both"/>
      </w:pPr>
      <w:r>
        <w:rPr>
          <w:rFonts w:ascii="Calibri" w:hAnsi="Calibri" w:cs="Arial"/>
          <w:rtl/>
          <w:sz w:val="24"/>
          <w:szCs w:val="24"/>
        </w:rPr>
        <w:t xml:space="preserve">مخاوف الأطراف المعنية (الجيران والجهات الرسمية والعلامات التجارية).</w:t>
      </w:r>
    </w:p>
    <w:p>
      <w:pPr>
        <w:pStyle w:val="ListeParagraf"/>
        <w:bidi/>
        <w:spacing w:after="80"/>
        <w:ind w:left="0" w:right="709"/>
        <w:jc w:val="both"/>
      </w:pPr>
      <w:r>
        <w:rPr>
          <w:rFonts w:ascii="Calibri" w:hAnsi="Calibri" w:cs="Arial"/>
          <w:rtl/>
          <w:sz w:val="24"/>
          <w:szCs w:val="24"/>
        </w:rPr>
        <w:t xml:space="preserve">2.2. درجة الأهمية = الشدة × الاحتمالية؛ وتُصنف الجوانب التي تبلغ درجتها 12 أو أكثر، أو أي جانب يخضع لحد قانوني أو لمتطلب من العميل، كجوانب هامة.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التحكم في الجوانب الهامة</w:t>
      </w:r>
    </w:p>
    <w:p>
      <w:pPr>
        <w:pStyle w:val="ListeParagraf"/>
        <w:bidi/>
        <w:spacing w:after="80"/>
        <w:ind w:left="0" w:right="709"/>
        <w:jc w:val="both"/>
      </w:pPr>
      <w:r>
        <w:rPr>
          <w:rFonts w:ascii="Calibri" w:hAnsi="Calibri" w:cs="Arial"/>
          <w:rtl/>
          <w:sz w:val="24"/>
          <w:szCs w:val="24"/>
        </w:rPr>
        <w:t xml:space="preserve">3.1. يُحدد لكل جانب هام ضابط واحد أو أكثر مما يلي: هدف ومستهدف بيئي، أو إجراء أو تعليمات تحكم تشغيلي، أو رصد وقياس، أو استعداد للطوارئ وتدريب.</w:t>
      </w:r>
    </w:p>
    <w:p>
      <w:pPr>
        <w:pStyle w:val="ListeParagraf"/>
        <w:bidi/>
        <w:spacing w:after="80"/>
        <w:ind w:left="0" w:right="709"/>
        <w:jc w:val="both"/>
      </w:pPr>
      <w:r>
        <w:rPr>
          <w:rFonts w:ascii="Calibri" w:hAnsi="Calibri" w:cs="Arial"/>
          <w:rtl/>
          <w:sz w:val="24"/>
          <w:szCs w:val="24"/>
        </w:rPr>
        <w:t xml:space="preserve">3.2. تُوضع الأهداف البيئية (مثل خفض استهلاك المياه لكل كيلوغرام من القماش) وتُتابع وفقًا للإجراء EMS.SR.PRO.16.01.</w:t>
      </w:r>
    </w:p>
    <w:p>
      <w:pPr>
        <w:pStyle w:val="ListeParagraf"/>
        <w:bidi/>
        <w:spacing w:after="80"/>
        <w:ind w:left="0" w:right="709"/>
        <w:jc w:val="both"/>
      </w:pPr>
      <w:r>
        <w:rPr>
          <w:rFonts w:ascii="Calibri" w:hAnsi="Calibri" w:cs="Arial"/>
          <w:rtl/>
          <w:sz w:val="24"/>
          <w:szCs w:val="24"/>
        </w:rPr>
        <w:t xml:space="preserve">3.3. تُبلّغ الجوانب الهامة للموظفين والمقاولين المعنيين أثناء التوجيه والاجتماعات التوعوية القصيرة.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المراجعة والتحديث</w:t>
      </w:r>
    </w:p>
    <w:p>
      <w:pPr>
        <w:pStyle w:val="ListeParagraf"/>
        <w:bidi/>
        <w:spacing w:after="80"/>
        <w:ind w:left="0" w:right="709"/>
        <w:jc w:val="both"/>
      </w:pPr>
      <w:r>
        <w:rPr>
          <w:rFonts w:ascii="Calibri" w:hAnsi="Calibri" w:cs="Arial"/>
          <w:rtl/>
          <w:sz w:val="24"/>
          <w:szCs w:val="24"/>
        </w:rPr>
        <w:t xml:space="preserve">4.1. يُراجع السجل مرة واحدة على الأقل سنويًا، وكذلك في الحالات التالية:</w:t>
      </w:r>
    </w:p>
    <w:p>
      <w:pPr>
        <w:pStyle w:val="ListeParagraf"/>
        <w:numPr>
          <w:ilvl w:val="0"/>
          <w:numId w:val="1"/>
        </w:numPr>
        <w:bidi/>
        <w:spacing w:after="60"/>
        <w:jc w:val="both"/>
      </w:pPr>
      <w:r>
        <w:rPr>
          <w:rFonts w:ascii="Calibri" w:hAnsi="Calibri" w:cs="Arial"/>
          <w:rtl/>
          <w:sz w:val="24"/>
          <w:szCs w:val="24"/>
        </w:rPr>
        <w:t xml:space="preserve">إدخال عملية أو آلة أو مادة كيميائية أو مبنى جديد،</w:t>
      </w:r>
    </w:p>
    <w:p>
      <w:pPr>
        <w:pStyle w:val="ListeParagraf"/>
        <w:numPr>
          <w:ilvl w:val="0"/>
          <w:numId w:val="1"/>
        </w:numPr>
        <w:bidi/>
        <w:spacing w:after="60"/>
        <w:jc w:val="both"/>
      </w:pPr>
      <w:r>
        <w:rPr>
          <w:rFonts w:ascii="Calibri" w:hAnsi="Calibri" w:cs="Arial"/>
          <w:rtl/>
          <w:sz w:val="24"/>
          <w:szCs w:val="24"/>
        </w:rPr>
        <w:t xml:space="preserve">تغير المتطلبات القانونية أو متطلبات العملاء،</w:t>
      </w:r>
    </w:p>
    <w:p>
      <w:pPr>
        <w:pStyle w:val="ListeParagraf"/>
        <w:numPr>
          <w:ilvl w:val="0"/>
          <w:numId w:val="1"/>
        </w:numPr>
        <w:bidi/>
        <w:spacing w:after="60"/>
        <w:jc w:val="both"/>
      </w:pPr>
      <w:r>
        <w:rPr>
          <w:rFonts w:ascii="Calibri" w:hAnsi="Calibri" w:cs="Arial"/>
          <w:rtl/>
          <w:sz w:val="24"/>
          <w:szCs w:val="24"/>
        </w:rPr>
        <w:t xml:space="preserve">وقوع حادث بيئي أو ورود شكوى.</w:t>
      </w:r>
    </w:p>
    <w:p>
      <w:pPr>
        <w:pStyle w:val="ListeParagraf"/>
        <w:bidi/>
        <w:spacing w:after="80"/>
        <w:ind w:left="0" w:right="709"/>
        <w:jc w:val="both"/>
      </w:pPr>
      <w:r>
        <w:rPr>
          <w:rFonts w:ascii="Calibri" w:hAnsi="Calibri" w:cs="Arial"/>
          <w:rtl/>
          <w:sz w:val="24"/>
          <w:szCs w:val="24"/>
        </w:rPr>
        <w:t xml:space="preserve">4.2. تُقيّم التغييرات قبل تنفيذها وفقًا للإجراء EMS.YS.PRO.11.04.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مسؤول البيئة المؤشرات التالية إلى مراجعة الإدارة:</w:t>
      </w:r>
    </w:p>
    <w:p>
      <w:pPr>
        <w:pStyle w:val="ListeParagraf"/>
        <w:numPr>
          <w:ilvl w:val="0"/>
          <w:numId w:val="1"/>
        </w:numPr>
        <w:bidi/>
        <w:spacing w:after="60"/>
        <w:jc w:val="both"/>
      </w:pPr>
      <w:r>
        <w:rPr>
          <w:rFonts w:ascii="Calibri" w:hAnsi="Calibri" w:cs="Arial"/>
          <w:rtl/>
          <w:sz w:val="24"/>
          <w:szCs w:val="24"/>
        </w:rPr>
        <w:t xml:space="preserve">عدد الجوانب الهامة وحالة خطط العمل المرتبطة بها (%)،</w:t>
      </w:r>
    </w:p>
    <w:p>
      <w:pPr>
        <w:pStyle w:val="ListeParagraf"/>
        <w:numPr>
          <w:ilvl w:val="0"/>
          <w:numId w:val="1"/>
        </w:numPr>
        <w:bidi/>
        <w:spacing w:after="60"/>
        <w:jc w:val="both"/>
      </w:pPr>
      <w:r>
        <w:rPr>
          <w:rFonts w:ascii="Calibri" w:hAnsi="Calibri" w:cs="Arial"/>
          <w:rtl/>
          <w:sz w:val="24"/>
          <w:szCs w:val="24"/>
        </w:rPr>
        <w:t xml:space="preserve">مدى تحقيق الأهداف البيئية،</w:t>
      </w:r>
    </w:p>
    <w:p>
      <w:pPr>
        <w:pStyle w:val="ListeParagraf"/>
        <w:numPr>
          <w:ilvl w:val="0"/>
          <w:numId w:val="1"/>
        </w:numPr>
        <w:bidi/>
        <w:spacing w:after="60"/>
        <w:jc w:val="both"/>
      </w:pPr>
      <w:r>
        <w:rPr>
          <w:rFonts w:ascii="Calibri" w:hAnsi="Calibri" w:cs="Arial"/>
          <w:rtl/>
          <w:sz w:val="24"/>
          <w:szCs w:val="24"/>
        </w:rPr>
        <w:t xml:space="preserve">عدد الحوادث والشكاوى البيئية.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الجوانب والتأثيرات البيئية</w:t>
      </w:r>
    </w:p>
    <w:p>
      <w:pPr>
        <w:pStyle w:val="ListeParagraf"/>
        <w:numPr>
          <w:ilvl w:val="0"/>
          <w:numId w:val="1"/>
        </w:numPr>
        <w:bidi/>
        <w:spacing w:after="60"/>
        <w:jc w:val="both"/>
      </w:pPr>
      <w:r>
        <w:rPr>
          <w:rFonts w:ascii="Calibri" w:hAnsi="Calibri" w:cs="Arial"/>
          <w:rtl/>
          <w:sz w:val="24"/>
          <w:szCs w:val="24"/>
        </w:rPr>
        <w:t xml:space="preserve">الأهداف البيئية وخطط العمل</w:t>
      </w:r>
    </w:p>
    <w:p>
      <w:pPr>
        <w:pStyle w:val="ListeParagraf"/>
        <w:numPr>
          <w:ilvl w:val="0"/>
          <w:numId w:val="1"/>
        </w:numPr>
        <w:bidi/>
        <w:spacing w:after="60"/>
        <w:jc w:val="both"/>
      </w:pPr>
      <w:r>
        <w:rPr>
          <w:rFonts w:ascii="Calibri" w:hAnsi="Calibri" w:cs="Arial"/>
          <w:rtl/>
          <w:sz w:val="24"/>
          <w:szCs w:val="24"/>
        </w:rPr>
        <w:t xml:space="preserve">EMS.HK.PRO.17.01. إجراء تحديد المتطلبات القانونية وتقييمها</w:t>
      </w:r>
    </w:p>
    <w:p>
      <w:pPr>
        <w:pStyle w:val="ListeParagraf"/>
        <w:numPr>
          <w:ilvl w:val="0"/>
          <w:numId w:val="1"/>
        </w:numPr>
        <w:bidi/>
        <w:spacing w:after="60"/>
        <w:jc w:val="both"/>
      </w:pPr>
      <w:r>
        <w:rPr>
          <w:rFonts w:ascii="Calibri" w:hAnsi="Calibri" w:cs="Arial"/>
          <w:rtl/>
          <w:sz w:val="24"/>
          <w:szCs w:val="24"/>
        </w:rPr>
        <w:t xml:space="preserve">EMS.YS.PRO.11.03. إجراء سياق المنظمة والأطراف المعنية</w:t>
      </w:r>
    </w:p>
    <w:p>
      <w:pPr>
        <w:pStyle w:val="ListeParagraf"/>
        <w:numPr>
          <w:ilvl w:val="0"/>
          <w:numId w:val="1"/>
        </w:numPr>
        <w:bidi/>
        <w:spacing w:after="60"/>
        <w:jc w:val="both"/>
      </w:pPr>
      <w:r>
        <w:rPr>
          <w:rFonts w:ascii="Calibri" w:hAnsi="Calibri" w:cs="Arial"/>
          <w:rtl/>
          <w:sz w:val="24"/>
          <w:szCs w:val="24"/>
        </w:rPr>
        <w:t xml:space="preserve">EMS.YS.PRO.11.04. إجراء المخاطر والفرص</w:t>
      </w:r>
    </w:p>
    <w:p>
      <w:pPr>
        <w:pStyle w:val="ListeParagraf"/>
        <w:numPr>
          <w:ilvl w:val="0"/>
          <w:numId w:val="1"/>
        </w:numPr>
        <w:bidi/>
        <w:spacing w:after="60"/>
        <w:jc w:val="both"/>
      </w:pPr>
      <w:r>
        <w:rPr>
          <w:rFonts w:ascii="Calibri" w:hAnsi="Calibri" w:cs="Arial"/>
          <w:rtl/>
          <w:sz w:val="24"/>
          <w:szCs w:val="24"/>
        </w:rPr>
        <w:t xml:space="preserve">EMS.ÇV.PRO.19.02. إجراء إدارة مياه الصرف ورصدها</w:t>
      </w:r>
    </w:p>
    <w:p>
      <w:pPr>
        <w:pStyle w:val="ListeParagraf"/>
        <w:numPr>
          <w:ilvl w:val="0"/>
          <w:numId w:val="1"/>
        </w:numPr>
        <w:bidi/>
        <w:spacing w:after="60"/>
        <w:jc w:val="both"/>
      </w:pPr>
      <w:r>
        <w:rPr>
          <w:rFonts w:ascii="Calibri" w:hAnsi="Calibri" w:cs="Arial"/>
          <w:rtl/>
          <w:sz w:val="24"/>
          <w:szCs w:val="24"/>
        </w:rPr>
        <w:t xml:space="preserve">EMS.ÇV.PRO.19.03. إجراء إدارة الانبعاثات الهوائية والضوضاء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مسؤول البيئة. وتُقيّم نتائج التدقيقات والحوادث واقتراحات الموظفين والأطراف المعنية،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ENVIRONMENTAL ASPECTS AND IMPACTS EVALUATION PROCEDURE</w:t>
          </w:r>
        </w:p>
        <w:p>
          <w:pPr>
            <w:pStyle w:val="GvdeMetni2"/>
            <w:bidi/>
            <w:spacing w:line="276" w:lineRule="auto"/>
            <w:jc w:val="center"/>
          </w:pPr>
          <w:r>
            <w:rPr>
              <w:rFonts w:asciiTheme="minorHAnsi" w:hAnsiTheme="minorHAnsi" w:cs="Arial"/>
              <w:b/>
              <w:bCs/>
              <w:color w:val="000000" w:themeColor="text1"/>
              <w:sz w:val="22"/>
              <w:szCs w:val="22"/>
              <w:rtl/>
            </w:rPr>
            <w:t>إجراء تقييم الجوانب والتأثيرات البيئية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EMS.ÇV.PRO.19.01.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EMS.ÇV.PRO.19.01. ENVIRONMENTAL ASPECTS AND IMPACTS EVALUATION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