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instruction defines how the hazardous waste temporary storage area of Eroglu Knitting (EMS) is used, labelled, inspected and emptied, in order to prevent spills, fire and pollution and to ensure that hazardous waste is handed over only to licensed contractors.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instruction applies to the hazardous waste temporary storage area and to all employees and contractors who bring waste to it or collect waste from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Waste Area Responsible:</w:t>
      </w:r>
      <w:r>
        <w:rPr>
          <w:rFonts w:ascii="Calibri" w:hAnsi="Calibri" w:cs="Arial"/>
          <w:sz w:val="24"/>
          <w:szCs w:val="24"/>
        </w:rPr>
        <w:t xml:space="preserve"> Accepts the waste, keeps the area in order, carries out the weekly inspection and keeps the records.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Environmental Officer:</w:t>
      </w:r>
      <w:r>
        <w:rPr>
          <w:rFonts w:ascii="Calibri" w:hAnsi="Calibri" w:cs="Arial"/>
          <w:sz w:val="24"/>
          <w:szCs w:val="24"/>
        </w:rPr>
        <w:t xml:space="preserve"> Arranges collection by licensed contractors, checks the documents and ensures that legal storage periods are not exceeded.</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Specialist:</w:t>
      </w:r>
      <w:r>
        <w:rPr>
          <w:rFonts w:ascii="Calibri" w:hAnsi="Calibri" w:cs="Arial"/>
          <w:sz w:val="24"/>
          <w:szCs w:val="24"/>
        </w:rPr>
        <w:t xml:space="preserve"> Checks fire safety, PPE and spill response equipment in the area.</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Secondary Containment:</w:t>
      </w:r>
      <w:r>
        <w:rPr>
          <w:rFonts w:ascii="Calibri" w:hAnsi="Calibri" w:cs="Arial"/>
          <w:sz w:val="24"/>
          <w:szCs w:val="24"/>
        </w:rPr>
        <w:t xml:space="preserve"> A bund or tray able to hold spills from the stored containers (at least 110% of the largest container).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GHS Label:</w:t>
      </w:r>
      <w:r>
        <w:rPr>
          <w:rFonts w:ascii="Calibri" w:hAnsi="Calibri" w:cs="Arial"/>
          <w:sz w:val="24"/>
          <w:szCs w:val="24"/>
        </w:rPr>
        <w:t xml:space="preserve"> A label showing the hazard pictograms of the waste according to the Globally Harmonized System.</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INSTRUCTIONS</w:t>
      </w:r>
    </w:p>
    <w:p>
      <w:pPr>
        <w:pStyle w:val="ListeParagraf"/>
        <w:spacing w:before="120" w:after="60"/>
        <w:ind w:left="709" w:right="0"/>
      </w:pPr>
      <w:r>
        <w:rPr>
          <w:rFonts w:ascii="Calibri" w:hAnsi="Calibri" w:cs="Arial"/>
          <w:b/>
          <w:bCs/>
          <w:sz w:val="24"/>
          <w:szCs w:val="24"/>
        </w:rPr>
        <w:t xml:space="preserve">1. AREA REQUIREMENTS</w:t>
      </w:r>
    </w:p>
    <w:p>
      <w:pPr>
        <w:pStyle w:val="ListeParagraf"/>
        <w:spacing w:after="80"/>
        <w:ind w:left="709" w:right="0"/>
        <w:jc w:val="both"/>
      </w:pPr>
      <w:r>
        <w:rPr>
          <w:rFonts w:ascii="Calibri" w:hAnsi="Calibri" w:cs="Arial"/>
          <w:sz w:val="24"/>
          <w:szCs w:val="24"/>
        </w:rPr>
        <w:t xml:space="preserve">1.1. The area is roofed, fenced and locked, and has an impermeable floor with secondary containment and no connection to drains.</w:t>
      </w:r>
    </w:p>
    <w:p>
      <w:pPr>
        <w:pStyle w:val="ListeParagraf"/>
        <w:spacing w:after="80"/>
        <w:ind w:left="709" w:right="0"/>
        <w:jc w:val="both"/>
      </w:pPr>
      <w:r>
        <w:rPr>
          <w:rFonts w:ascii="Calibri" w:hAnsi="Calibri" w:cs="Arial"/>
          <w:sz w:val="24"/>
          <w:szCs w:val="24"/>
        </w:rPr>
        <w:t xml:space="preserve">1.2. The area has a sign “Hazardous Waste Area – Authorised Persons Only”, a list of waste types, a fire extinguisher, a spill kit, an eyewash station and the emergency phone numbers.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RECEIVING AND STORING WASTE</w:t>
      </w:r>
    </w:p>
    <w:p>
      <w:pPr>
        <w:pStyle w:val="ListeParagraf"/>
        <w:spacing w:after="80"/>
        <w:ind w:left="709" w:right="0"/>
        <w:jc w:val="both"/>
      </w:pPr>
      <w:r>
        <w:rPr>
          <w:rFonts w:ascii="Calibri" w:hAnsi="Calibri" w:cs="Arial"/>
          <w:sz w:val="24"/>
          <w:szCs w:val="24"/>
        </w:rPr>
        <w:t xml:space="preserve">2.1. Each waste type is stored in a separate, closed and compatible container in its labelled section (used oil, chemical containers, contaminated rags and gloves, ETP sludge, batteries, fluorescent lamps, electronic waste).</w:t>
      </w:r>
    </w:p>
    <w:p>
      <w:pPr>
        <w:pStyle w:val="ListeParagraf"/>
        <w:spacing w:after="80"/>
        <w:ind w:left="709" w:right="0"/>
        <w:jc w:val="both"/>
      </w:pPr>
      <w:r>
        <w:rPr>
          <w:rFonts w:ascii="Calibri" w:hAnsi="Calibri" w:cs="Arial"/>
          <w:sz w:val="24"/>
          <w:szCs w:val="24"/>
        </w:rPr>
        <w:t xml:space="preserve">2.2. Each container carries a label with the waste type, GHS hazard pictograms, source department and first filling date.</w:t>
      </w:r>
    </w:p>
    <w:p>
      <w:pPr>
        <w:pStyle w:val="ListeParagraf"/>
        <w:spacing w:after="80"/>
        <w:ind w:left="709" w:right="0"/>
        <w:jc w:val="both"/>
      </w:pPr>
      <w:r>
        <w:rPr>
          <w:rFonts w:ascii="Calibri" w:hAnsi="Calibri" w:cs="Arial"/>
          <w:sz w:val="24"/>
          <w:szCs w:val="24"/>
        </w:rPr>
        <w:t xml:space="preserve">2.3. The waste is weighed and entered in the Hazardous Waste Register (date, type, quantity, department).</w:t>
      </w:r>
    </w:p>
    <w:p>
      <w:pPr>
        <w:pStyle w:val="ListeParagraf"/>
        <w:spacing w:after="80"/>
        <w:ind w:left="709" w:right="0"/>
        <w:jc w:val="both"/>
      </w:pPr>
      <w:r>
        <w:rPr>
          <w:rFonts w:ascii="Calibri" w:hAnsi="Calibri" w:cs="Arial"/>
          <w:sz w:val="24"/>
          <w:szCs w:val="24"/>
        </w:rPr>
        <w:t xml:space="preserve">2.4. Incompatible wastes (e.g. acids and alkalis, oxidisers and flammables) are kept apart.</w:t>
      </w:r>
    </w:p>
    <w:p>
      <w:pPr>
        <w:pStyle w:val="ListeParagraf"/>
        <w:spacing w:after="80"/>
        <w:ind w:left="709" w:right="0"/>
        <w:jc w:val="both"/>
      </w:pPr>
      <w:r>
        <w:rPr>
          <w:rFonts w:ascii="Calibri" w:hAnsi="Calibri" w:cs="Arial"/>
          <w:sz w:val="24"/>
          <w:szCs w:val="24"/>
        </w:rPr>
        <w:t xml:space="preserve">2.5. Containers are not stacked more than two high and walkways are kept free.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SAFETY RULES / PROHIBITIONS</w:t>
      </w:r>
    </w:p>
    <w:p>
      <w:pPr>
        <w:pStyle w:val="ListeParagraf"/>
        <w:numPr>
          <w:ilvl w:val="0"/>
          <w:numId w:val="1"/>
        </w:numPr>
        <w:spacing w:after="60"/>
        <w:jc w:val="both"/>
      </w:pPr>
      <w:r>
        <w:rPr>
          <w:rFonts w:ascii="Calibri" w:hAnsi="Calibri" w:cs="Arial"/>
          <w:sz w:val="24"/>
          <w:szCs w:val="24"/>
        </w:rPr>
        <w:t xml:space="preserve">Wear gloves, safety glasses and safety shoes when handling hazardous waste.</w:t>
      </w:r>
    </w:p>
    <w:p>
      <w:pPr>
        <w:pStyle w:val="ListeParagraf"/>
        <w:numPr>
          <w:ilvl w:val="0"/>
          <w:numId w:val="1"/>
        </w:numPr>
        <w:spacing w:after="60"/>
        <w:jc w:val="both"/>
      </w:pPr>
      <w:r>
        <w:rPr>
          <w:rFonts w:ascii="Calibri" w:hAnsi="Calibri" w:cs="Arial"/>
          <w:sz w:val="24"/>
          <w:szCs w:val="24"/>
        </w:rPr>
        <w:t xml:space="preserve">Do not smoke, eat or drink in or near the area.</w:t>
      </w:r>
    </w:p>
    <w:p>
      <w:pPr>
        <w:pStyle w:val="ListeParagraf"/>
        <w:numPr>
          <w:ilvl w:val="0"/>
          <w:numId w:val="1"/>
        </w:numPr>
        <w:spacing w:after="60"/>
        <w:jc w:val="both"/>
      </w:pPr>
      <w:r>
        <w:rPr>
          <w:rFonts w:ascii="Calibri" w:hAnsi="Calibri" w:cs="Arial"/>
          <w:sz w:val="24"/>
          <w:szCs w:val="24"/>
        </w:rPr>
        <w:t xml:space="preserve">Do not leave containers open or uncovered.</w:t>
      </w:r>
    </w:p>
    <w:p>
      <w:pPr>
        <w:pStyle w:val="ListeParagraf"/>
        <w:numPr>
          <w:ilvl w:val="0"/>
          <w:numId w:val="1"/>
        </w:numPr>
        <w:spacing w:after="60"/>
        <w:jc w:val="both"/>
      </w:pPr>
      <w:r>
        <w:rPr>
          <w:rFonts w:ascii="Calibri" w:hAnsi="Calibri" w:cs="Arial"/>
          <w:sz w:val="24"/>
          <w:szCs w:val="24"/>
        </w:rPr>
        <w:t xml:space="preserve">Do not store waste outside the containment or longer than the period allowed by applicable Egyptian legislation.</w:t>
      </w:r>
    </w:p>
    <w:p>
      <w:pPr>
        <w:pStyle w:val="ListeParagraf"/>
        <w:numPr>
          <w:ilvl w:val="0"/>
          <w:numId w:val="1"/>
        </w:numPr>
        <w:spacing w:after="60"/>
        <w:jc w:val="both"/>
      </w:pPr>
      <w:r>
        <w:rPr>
          <w:rFonts w:ascii="Calibri" w:hAnsi="Calibri" w:cs="Arial"/>
          <w:sz w:val="24"/>
          <w:szCs w:val="24"/>
        </w:rPr>
        <w:t xml:space="preserve">Do not hand over waste to anyone other than a licensed contractor approved by the Environmental Officer.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INSPECTION AND COLLECTION</w:t>
      </w:r>
    </w:p>
    <w:p>
      <w:pPr>
        <w:pStyle w:val="ListeParagraf"/>
        <w:spacing w:after="80"/>
        <w:ind w:left="709" w:right="0"/>
        <w:jc w:val="both"/>
      </w:pPr>
      <w:r>
        <w:rPr>
          <w:rFonts w:ascii="Calibri" w:hAnsi="Calibri" w:cs="Arial"/>
          <w:sz w:val="24"/>
          <w:szCs w:val="24"/>
        </w:rPr>
        <w:t xml:space="preserve">4.1. The Waste Area Responsible inspects the area every week with the checklist: leaks, labels, container condition, containment, fire extinguisher, spill kit and storage duration.</w:t>
      </w:r>
    </w:p>
    <w:p>
      <w:pPr>
        <w:pStyle w:val="ListeParagraf"/>
        <w:spacing w:after="80"/>
        <w:ind w:left="709" w:right="0"/>
        <w:jc w:val="both"/>
      </w:pPr>
      <w:r>
        <w:rPr>
          <w:rFonts w:ascii="Calibri" w:hAnsi="Calibri" w:cs="Arial"/>
          <w:sz w:val="24"/>
          <w:szCs w:val="24"/>
        </w:rPr>
        <w:t xml:space="preserve">4.2. Before collection, the Environmental Officer checks the contractor’s licence and vehicle; the waste is weighed and a waste transfer document is signed, and the final disposal certificate is kept.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IN CASE OF EMERGENCY</w:t>
      </w:r>
    </w:p>
    <w:p>
      <w:pPr>
        <w:pStyle w:val="ListeParagraf"/>
        <w:spacing w:after="80"/>
        <w:ind w:left="709" w:right="0"/>
        <w:jc w:val="both"/>
      </w:pPr>
      <w:r>
        <w:rPr>
          <w:rFonts w:ascii="Calibri" w:hAnsi="Calibri" w:cs="Arial"/>
          <w:sz w:val="24"/>
          <w:szCs w:val="24"/>
        </w:rPr>
        <w:t xml:space="preserve">5.1. In case of a leak, stop the source if it is safe to do so, contain it with the spill kit according to EMS.KM.TL.20.03. and inform the supervisor and the Environmental Officer.</w:t>
      </w:r>
    </w:p>
    <w:p>
      <w:pPr>
        <w:pStyle w:val="ListeParagraf"/>
        <w:spacing w:after="80"/>
        <w:ind w:left="709" w:right="0"/>
        <w:jc w:val="both"/>
      </w:pPr>
      <w:r>
        <w:rPr>
          <w:rFonts w:ascii="Calibri" w:hAnsi="Calibri" w:cs="Arial"/>
          <w:sz w:val="24"/>
          <w:szCs w:val="24"/>
        </w:rPr>
        <w:t xml:space="preserve">5.2. In case of fire, raise the alarm and follow the emergency response plan (EMS OHS SP16).</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RELATED DOCUMENTS AND RECORDS</w:t>
      </w:r>
    </w:p>
    <w:p>
      <w:pPr>
        <w:pStyle w:val="ListeParagraf"/>
        <w:numPr>
          <w:ilvl w:val="0"/>
          <w:numId w:val="1"/>
        </w:numPr>
        <w:spacing w:after="60"/>
        <w:jc w:val="both"/>
      </w:pPr>
      <w:r>
        <w:rPr>
          <w:rFonts w:ascii="Calibri" w:hAnsi="Calibri" w:cs="Arial"/>
          <w:sz w:val="24"/>
          <w:szCs w:val="24"/>
        </w:rPr>
        <w:t xml:space="preserve">Hazardous Waste Register and Weekly Inspection Checklist</w:t>
      </w:r>
    </w:p>
    <w:p>
      <w:pPr>
        <w:pStyle w:val="ListeParagraf"/>
        <w:numPr>
          <w:ilvl w:val="0"/>
          <w:numId w:val="1"/>
        </w:numPr>
        <w:spacing w:after="60"/>
        <w:jc w:val="both"/>
      </w:pPr>
      <w:r>
        <w:rPr>
          <w:rFonts w:ascii="Calibri" w:hAnsi="Calibri" w:cs="Arial"/>
          <w:sz w:val="24"/>
          <w:szCs w:val="24"/>
        </w:rPr>
        <w:t xml:space="preserve">Waste Transfer Documents and Disposal Certificates</w:t>
      </w:r>
    </w:p>
    <w:p>
      <w:pPr>
        <w:pStyle w:val="ListeParagraf"/>
        <w:numPr>
          <w:ilvl w:val="0"/>
          <w:numId w:val="1"/>
        </w:numPr>
        <w:spacing w:after="60"/>
        <w:jc w:val="both"/>
      </w:pPr>
      <w:r>
        <w:rPr>
          <w:rFonts w:ascii="Calibri" w:hAnsi="Calibri" w:cs="Arial"/>
          <w:sz w:val="24"/>
          <w:szCs w:val="24"/>
        </w:rPr>
        <w:t xml:space="preserve">Waste Management Procedure</w:t>
      </w:r>
    </w:p>
    <w:p>
      <w:pPr>
        <w:pStyle w:val="ListeParagraf"/>
        <w:numPr>
          <w:ilvl w:val="0"/>
          <w:numId w:val="1"/>
        </w:numPr>
        <w:spacing w:after="60"/>
        <w:jc w:val="both"/>
      </w:pPr>
      <w:r>
        <w:rPr>
          <w:rFonts w:ascii="Calibri" w:hAnsi="Calibri" w:cs="Arial"/>
          <w:sz w:val="24"/>
          <w:szCs w:val="24"/>
        </w:rPr>
        <w:t xml:space="preserve">EMS.ÇV.TL.19.01. Waste Segregation Instruction</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FEEDBACK AND MONITORING</w:t>
      </w:r>
    </w:p>
    <w:p>
      <w:pPr>
        <w:pStyle w:val="ListeParagraf"/>
        <w:spacing w:after="80"/>
        <w:ind w:left="709" w:right="0"/>
        <w:jc w:val="both"/>
      </w:pPr>
      <w:r>
        <w:rPr>
          <w:rFonts w:ascii="Calibri" w:hAnsi="Calibri" w:cs="Arial"/>
          <w:sz w:val="24"/>
          <w:szCs w:val="24"/>
        </w:rPr>
        <w:t xml:space="preserve">The Environmental Officer monitors the monthly quantity of hazardous waste and the results of the weekly inspections. This instruction is reviewed every year or after any incident.</w:t>
      </w:r>
    </w:p>
    <w:p>
      <w:pPr>
        <w:pStyle w:val="ListeParagraf"/>
        <w:pageBreakBefore/>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تحدد هذه التعليمات كيفية استخدام منطقة التخزين المؤقت للنفايات الخطرة في شركة إيروغلو للتريكو (EMS) ووسمها وفحصها وتفريغها، وذلك لمنع الانسكابات والحرائق والتلوث، وضمان عدم تسليم النفايات الخطرة إلا لمقاولين مرخصين.</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تنطبق هذه التعليمات على منطقة التخزين المؤقت للنفايات الخطرة وعلى جميع الموظفين والمقاولين الذين يجلبون النفايات إليها أو يستلمونها منها.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منطقة النفايات:</w:t>
      </w:r>
      <w:r>
        <w:rPr>
          <w:rFonts w:ascii="Calibri" w:hAnsi="Calibri" w:cs="Arial"/>
          <w:rtl/>
          <w:sz w:val="24"/>
          <w:szCs w:val="24"/>
        </w:rPr>
        <w:t xml:space="preserve"> يستلم النفايات، ويحافظ على تنظيم المنطقة، ويجري الفحص الأسبوعي، ويحتفظ بالسجلات.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 البيئة:</w:t>
      </w:r>
      <w:r>
        <w:rPr>
          <w:rFonts w:ascii="Calibri" w:hAnsi="Calibri" w:cs="Arial"/>
          <w:rtl/>
          <w:sz w:val="24"/>
          <w:szCs w:val="24"/>
        </w:rPr>
        <w:t xml:space="preserve"> ينظم الجمع بواسطة مقاولين مرخصين، ويتحقق من المستندات، ويضمن عدم تجاوز فترات التخزين القانونية.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أخصائي السلامة والصحة المهنية:</w:t>
      </w:r>
      <w:r>
        <w:rPr>
          <w:rFonts w:ascii="Calibri" w:hAnsi="Calibri" w:cs="Arial"/>
          <w:rtl/>
          <w:sz w:val="24"/>
          <w:szCs w:val="24"/>
        </w:rPr>
        <w:t xml:space="preserve"> يتحقق من السلامة من الحريق ومعدات الحماية الشخصية ومعدات الاستجابة للانسكاب في المنطقة.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الاحتواء الثانوي:</w:t>
      </w:r>
      <w:r>
        <w:rPr>
          <w:rFonts w:ascii="Calibri" w:hAnsi="Calibri" w:cs="Arial"/>
          <w:rtl/>
          <w:sz w:val="24"/>
          <w:szCs w:val="24"/>
        </w:rPr>
        <w:t xml:space="preserve"> حاجز أو صينية قادرة على احتواء الانسكابات من العبوات المخزنة (110% على الأقل من سعة أكبر عبوة).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ملصق GHS:</w:t>
      </w:r>
      <w:r>
        <w:rPr>
          <w:rFonts w:ascii="Calibri" w:hAnsi="Calibri" w:cs="Arial"/>
          <w:rtl/>
          <w:sz w:val="24"/>
          <w:szCs w:val="24"/>
        </w:rPr>
        <w:t xml:space="preserve"> ملصق يبين الرموز التحذيرية لمخاطر النفايات وفقًا للنظام المنسق عالميًا.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التعليمات</w:t>
      </w:r>
    </w:p>
    <w:p>
      <w:pPr>
        <w:pStyle w:val="ListeParagraf"/>
        <w:bidi/>
        <w:spacing w:before="120" w:after="60"/>
        <w:ind w:left="0" w:right="709"/>
      </w:pPr>
      <w:r>
        <w:rPr>
          <w:rFonts w:ascii="Calibri" w:hAnsi="Calibri" w:cs="Arial"/>
          <w:b/>
          <w:bCs/>
          <w:rtl/>
          <w:sz w:val="24"/>
          <w:szCs w:val="24"/>
        </w:rPr>
        <w:t xml:space="preserve">1. متطلبات المنطقة</w:t>
      </w:r>
    </w:p>
    <w:p>
      <w:pPr>
        <w:pStyle w:val="ListeParagraf"/>
        <w:bidi/>
        <w:spacing w:after="80"/>
        <w:ind w:left="0" w:right="709"/>
        <w:jc w:val="both"/>
      </w:pPr>
      <w:r>
        <w:rPr>
          <w:rFonts w:ascii="Calibri" w:hAnsi="Calibri" w:cs="Arial"/>
          <w:rtl/>
          <w:sz w:val="24"/>
          <w:szCs w:val="24"/>
        </w:rPr>
        <w:t xml:space="preserve">1.1. تكون المنطقة مسقوفة ومسيّجة ومقفلة، وذات أرضية غير منفذة مع احتواء ثانوي ودون أي اتصال بالمصارف.</w:t>
      </w:r>
    </w:p>
    <w:p>
      <w:pPr>
        <w:pStyle w:val="ListeParagraf"/>
        <w:bidi/>
        <w:spacing w:after="80"/>
        <w:ind w:left="0" w:right="709"/>
        <w:jc w:val="both"/>
      </w:pPr>
      <w:r>
        <w:rPr>
          <w:rFonts w:ascii="Calibri" w:hAnsi="Calibri" w:cs="Arial"/>
          <w:rtl/>
          <w:sz w:val="24"/>
          <w:szCs w:val="24"/>
        </w:rPr>
        <w:t xml:space="preserve">1.2. تحتوي المنطقة على لافتة «منطقة النفايات الخطرة – للأشخاص المصرح لهم فقط»، وقائمة بأنواع النفايات، وطفاية حريق، وعدة انسكاب، ومحطة غسيل العيون، وأرقام هواتف الطوارئ.</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استلام النفايات وتخزينها</w:t>
      </w:r>
    </w:p>
    <w:p>
      <w:pPr>
        <w:pStyle w:val="ListeParagraf"/>
        <w:bidi/>
        <w:spacing w:after="80"/>
        <w:ind w:left="0" w:right="709"/>
        <w:jc w:val="both"/>
      </w:pPr>
      <w:r>
        <w:rPr>
          <w:rFonts w:ascii="Calibri" w:hAnsi="Calibri" w:cs="Arial"/>
          <w:rtl/>
          <w:sz w:val="24"/>
          <w:szCs w:val="24"/>
        </w:rPr>
        <w:t xml:space="preserve">2.1. يُخزن كل نوع من النفايات في عبوة منفصلة ومغلقة ومتوافقة في القسم الموسوم الخاص به (الزيوت المستعملة وعبوات الكيماويات والخرق والقفازات الملوثة وحمأة محطة المعالجة والبطاريات والمصابيح الفلورية والنفايات الإلكترونية).</w:t>
      </w:r>
    </w:p>
    <w:p>
      <w:pPr>
        <w:pStyle w:val="ListeParagraf"/>
        <w:bidi/>
        <w:spacing w:after="80"/>
        <w:ind w:left="0" w:right="709"/>
        <w:jc w:val="both"/>
      </w:pPr>
      <w:r>
        <w:rPr>
          <w:rFonts w:ascii="Calibri" w:hAnsi="Calibri" w:cs="Arial"/>
          <w:rtl/>
          <w:sz w:val="24"/>
          <w:szCs w:val="24"/>
        </w:rPr>
        <w:t xml:space="preserve">2.2. تحمل كل عبوة ملصقًا يبين نوع النفايات ورموز مخاطر GHS والقسم المصدر وتاريخ بدء التعبئة.</w:t>
      </w:r>
    </w:p>
    <w:p>
      <w:pPr>
        <w:pStyle w:val="ListeParagraf"/>
        <w:bidi/>
        <w:spacing w:after="80"/>
        <w:ind w:left="0" w:right="709"/>
        <w:jc w:val="both"/>
      </w:pPr>
      <w:r>
        <w:rPr>
          <w:rFonts w:ascii="Calibri" w:hAnsi="Calibri" w:cs="Arial"/>
          <w:rtl/>
          <w:sz w:val="24"/>
          <w:szCs w:val="24"/>
        </w:rPr>
        <w:t xml:space="preserve">2.3. تُوزن النفايات وتُقيد في سجل النفايات الخطرة (التاريخ والنوع والكمية والقسم).</w:t>
      </w:r>
    </w:p>
    <w:p>
      <w:pPr>
        <w:pStyle w:val="ListeParagraf"/>
        <w:bidi/>
        <w:spacing w:after="80"/>
        <w:ind w:left="0" w:right="709"/>
        <w:jc w:val="both"/>
      </w:pPr>
      <w:r>
        <w:rPr>
          <w:rFonts w:ascii="Calibri" w:hAnsi="Calibri" w:cs="Arial"/>
          <w:rtl/>
          <w:sz w:val="24"/>
          <w:szCs w:val="24"/>
        </w:rPr>
        <w:t xml:space="preserve">2.4. تُحفظ النفايات غير المتوافقة (مثل الأحماض والقلويات، والمواد المؤكسدة والمواد القابلة للاشتعال) بعيدة عن بعضها.</w:t>
      </w:r>
    </w:p>
    <w:p>
      <w:pPr>
        <w:pStyle w:val="ListeParagraf"/>
        <w:bidi/>
        <w:spacing w:after="80"/>
        <w:ind w:left="0" w:right="709"/>
        <w:jc w:val="both"/>
      </w:pPr>
      <w:r>
        <w:rPr>
          <w:rFonts w:ascii="Calibri" w:hAnsi="Calibri" w:cs="Arial"/>
          <w:rtl/>
          <w:sz w:val="24"/>
          <w:szCs w:val="24"/>
        </w:rPr>
        <w:t xml:space="preserve">2.5. لا تُرص العبوات بأكثر من طبقتين، وتُبقى الممرات خالية.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قواعد السلامة / المحظورات</w:t>
      </w:r>
    </w:p>
    <w:p>
      <w:pPr>
        <w:pStyle w:val="ListeParagraf"/>
        <w:numPr>
          <w:ilvl w:val="0"/>
          <w:numId w:val="1"/>
        </w:numPr>
        <w:bidi/>
        <w:spacing w:after="60"/>
        <w:jc w:val="both"/>
      </w:pPr>
      <w:r>
        <w:rPr>
          <w:rFonts w:ascii="Calibri" w:hAnsi="Calibri" w:cs="Arial"/>
          <w:rtl/>
          <w:sz w:val="24"/>
          <w:szCs w:val="24"/>
        </w:rPr>
        <w:t xml:space="preserve">ارتدِ القفازات ونظارات السلامة وأحذية السلامة عند التعامل مع النفايات الخطرة.</w:t>
      </w:r>
    </w:p>
    <w:p>
      <w:pPr>
        <w:pStyle w:val="ListeParagraf"/>
        <w:numPr>
          <w:ilvl w:val="0"/>
          <w:numId w:val="1"/>
        </w:numPr>
        <w:bidi/>
        <w:spacing w:after="60"/>
        <w:jc w:val="both"/>
      </w:pPr>
      <w:r>
        <w:rPr>
          <w:rFonts w:ascii="Calibri" w:hAnsi="Calibri" w:cs="Arial"/>
          <w:rtl/>
          <w:sz w:val="24"/>
          <w:szCs w:val="24"/>
        </w:rPr>
        <w:t xml:space="preserve">لا تدخن ولا تأكل ولا تشرب داخل المنطقة أو بالقرب منها.</w:t>
      </w:r>
    </w:p>
    <w:p>
      <w:pPr>
        <w:pStyle w:val="ListeParagraf"/>
        <w:numPr>
          <w:ilvl w:val="0"/>
          <w:numId w:val="1"/>
        </w:numPr>
        <w:bidi/>
        <w:spacing w:after="60"/>
        <w:jc w:val="both"/>
      </w:pPr>
      <w:r>
        <w:rPr>
          <w:rFonts w:ascii="Calibri" w:hAnsi="Calibri" w:cs="Arial"/>
          <w:rtl/>
          <w:sz w:val="24"/>
          <w:szCs w:val="24"/>
        </w:rPr>
        <w:t xml:space="preserve">لا تترك العبوات مفتوحة أو مكشوفة.</w:t>
      </w:r>
    </w:p>
    <w:p>
      <w:pPr>
        <w:pStyle w:val="ListeParagraf"/>
        <w:numPr>
          <w:ilvl w:val="0"/>
          <w:numId w:val="1"/>
        </w:numPr>
        <w:bidi/>
        <w:spacing w:after="60"/>
        <w:jc w:val="both"/>
      </w:pPr>
      <w:r>
        <w:rPr>
          <w:rFonts w:ascii="Calibri" w:hAnsi="Calibri" w:cs="Arial"/>
          <w:rtl/>
          <w:sz w:val="24"/>
          <w:szCs w:val="24"/>
        </w:rPr>
        <w:t xml:space="preserve">لا تخزن النفايات خارج الاحتواء أو لمدة أطول من المدة المسموح بها في التشريعات المصرية المعمول بها.</w:t>
      </w:r>
    </w:p>
    <w:p>
      <w:pPr>
        <w:pStyle w:val="ListeParagraf"/>
        <w:numPr>
          <w:ilvl w:val="0"/>
          <w:numId w:val="1"/>
        </w:numPr>
        <w:bidi/>
        <w:spacing w:after="60"/>
        <w:jc w:val="both"/>
      </w:pPr>
      <w:r>
        <w:rPr>
          <w:rFonts w:ascii="Calibri" w:hAnsi="Calibri" w:cs="Arial"/>
          <w:rtl/>
          <w:sz w:val="24"/>
          <w:szCs w:val="24"/>
        </w:rPr>
        <w:t xml:space="preserve">لا تسلّم النفايات لأي جهة غير مقاول مرخص ومعتمد من مسؤول البيئة.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الفحص والجمع</w:t>
      </w:r>
    </w:p>
    <w:p>
      <w:pPr>
        <w:pStyle w:val="ListeParagraf"/>
        <w:bidi/>
        <w:spacing w:after="80"/>
        <w:ind w:left="0" w:right="709"/>
        <w:jc w:val="both"/>
      </w:pPr>
      <w:r>
        <w:rPr>
          <w:rFonts w:ascii="Calibri" w:hAnsi="Calibri" w:cs="Arial"/>
          <w:rtl/>
          <w:sz w:val="24"/>
          <w:szCs w:val="24"/>
        </w:rPr>
        <w:t xml:space="preserve">4.1. يفحص مسؤول منطقة النفايات المنطقة أسبوعيًا باستخدام قائمة الفحص: التسربات والملصقات وحالة العبوات والاحتواء وطفاية الحريق وعدة الانسكاب ومدة التخزين.</w:t>
      </w:r>
    </w:p>
    <w:p>
      <w:pPr>
        <w:pStyle w:val="ListeParagraf"/>
        <w:bidi/>
        <w:spacing w:after="80"/>
        <w:ind w:left="0" w:right="709"/>
        <w:jc w:val="both"/>
      </w:pPr>
      <w:r>
        <w:rPr>
          <w:rFonts w:ascii="Calibri" w:hAnsi="Calibri" w:cs="Arial"/>
          <w:rtl/>
          <w:sz w:val="24"/>
          <w:szCs w:val="24"/>
        </w:rPr>
        <w:t xml:space="preserve">4.2. قبل الجمع يتحقق مسؤول البيئة من ترخيص المقاول ومركبته؛ وتُوزن النفايات ويُوقع مستند نقل النفايات، وتُحفظ شهادة التخلص النهائي.</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في حالة الطوارئ</w:t>
      </w:r>
    </w:p>
    <w:p>
      <w:pPr>
        <w:pStyle w:val="ListeParagraf"/>
        <w:bidi/>
        <w:spacing w:after="80"/>
        <w:ind w:left="0" w:right="709"/>
        <w:jc w:val="both"/>
      </w:pPr>
      <w:r>
        <w:rPr>
          <w:rFonts w:ascii="Calibri" w:hAnsi="Calibri" w:cs="Arial"/>
          <w:rtl/>
          <w:sz w:val="24"/>
          <w:szCs w:val="24"/>
        </w:rPr>
        <w:t xml:space="preserve">5.1. في حالة حدوث تسرب، أوقف المصدر إذا كان ذلك آمنًا، واحتوِ التسرب بعدة الانسكاب وفقًا للتعليمات EMS.KM.TL.20.03.، وأبلغ المشرف ومسؤول البيئة.</w:t>
      </w:r>
    </w:p>
    <w:p>
      <w:pPr>
        <w:pStyle w:val="ListeParagraf"/>
        <w:bidi/>
        <w:spacing w:after="80"/>
        <w:ind w:left="0" w:right="709"/>
        <w:jc w:val="both"/>
      </w:pPr>
      <w:r>
        <w:rPr>
          <w:rFonts w:ascii="Calibri" w:hAnsi="Calibri" w:cs="Arial"/>
          <w:rtl/>
          <w:sz w:val="24"/>
          <w:szCs w:val="24"/>
        </w:rPr>
        <w:t xml:space="preserve">5.2. في حالة الحريق، أطلق الإنذار واتبع خطة الاستجابة للطوارئ (EMS OHS SP16).</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سجل النفايات الخطرة وقائمة الفحص الأسبوعي</w:t>
      </w:r>
    </w:p>
    <w:p>
      <w:pPr>
        <w:pStyle w:val="ListeParagraf"/>
        <w:numPr>
          <w:ilvl w:val="0"/>
          <w:numId w:val="1"/>
        </w:numPr>
        <w:bidi/>
        <w:spacing w:after="60"/>
        <w:jc w:val="both"/>
      </w:pPr>
      <w:r>
        <w:rPr>
          <w:rFonts w:ascii="Calibri" w:hAnsi="Calibri" w:cs="Arial"/>
          <w:rtl/>
          <w:sz w:val="24"/>
          <w:szCs w:val="24"/>
        </w:rPr>
        <w:t xml:space="preserve">مستندات نقل النفايات وشهادات التخلص</w:t>
      </w:r>
    </w:p>
    <w:p>
      <w:pPr>
        <w:pStyle w:val="ListeParagraf"/>
        <w:numPr>
          <w:ilvl w:val="0"/>
          <w:numId w:val="1"/>
        </w:numPr>
        <w:bidi/>
        <w:spacing w:after="60"/>
        <w:jc w:val="both"/>
      </w:pPr>
      <w:r>
        <w:rPr>
          <w:rFonts w:ascii="Calibri" w:hAnsi="Calibri" w:cs="Arial"/>
          <w:rtl/>
          <w:sz w:val="24"/>
          <w:szCs w:val="24"/>
        </w:rPr>
        <w:t xml:space="preserve">إجراء إدارة النفايات</w:t>
      </w:r>
    </w:p>
    <w:p>
      <w:pPr>
        <w:pStyle w:val="ListeParagraf"/>
        <w:numPr>
          <w:ilvl w:val="0"/>
          <w:numId w:val="1"/>
        </w:numPr>
        <w:bidi/>
        <w:spacing w:after="60"/>
        <w:jc w:val="both"/>
      </w:pPr>
      <w:r>
        <w:rPr>
          <w:rFonts w:ascii="Calibri" w:hAnsi="Calibri" w:cs="Arial"/>
          <w:rtl/>
          <w:sz w:val="24"/>
          <w:szCs w:val="24"/>
        </w:rPr>
        <w:t xml:space="preserve">EMS.ÇV.TL.19.01. تعليمات فصل النفايات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التغذية الراجعة والمتابعة</w:t>
      </w:r>
    </w:p>
    <w:p>
      <w:pPr>
        <w:pStyle w:val="ListeParagraf"/>
        <w:bidi/>
        <w:spacing w:after="80"/>
        <w:ind w:left="0" w:right="709"/>
        <w:jc w:val="both"/>
      </w:pPr>
      <w:r>
        <w:rPr>
          <w:rFonts w:ascii="Calibri" w:hAnsi="Calibri" w:cs="Arial"/>
          <w:rtl/>
          <w:sz w:val="24"/>
          <w:szCs w:val="24"/>
        </w:rPr>
        <w:t xml:space="preserve">يتابع مسؤول البيئة الكمية الشهرية للنفايات الخطرة ونتائج الفحوصات الأسبوعية. وتُراجع هذه التعليمات سنويًا أو بعد أي حادث.</w:t>
      </w:r>
    </w:p>
    <w:p/>
    <w:p w14:paraId="09C717F6" w14:textId="77777777" w:rsidR="00492105" w:rsidRDefault="00492105" w:rsidP="00E34A01">
      <w:pPr>
        <w:pStyle w:val="ListeParagraf"/>
        <w:keepNext/>
        <w:ind w:left="709"/>
        <w:rPr>
          <w:rFonts w:ascii="Calibri" w:hAnsi="Calibri" w:cs="Calibri"/>
          <w:sz w:val="24"/>
          <w:szCs w:val="24"/>
        </w:rPr>
      </w:pPr>
    </w:p>
    <w:p w14:paraId="398C0755" w14:textId="3C545F43" w:rsidR="00492105" w:rsidRPr="00492105" w:rsidRDefault="00492105" w:rsidP="00E34A01">
      <w:pPr>
        <w:pStyle w:val="ListeParagraf"/>
        <w:keepNext/>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cantSplit/>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keepNext/>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keepNext/>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keepNext/>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cantSplit/>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keepNext/>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keepNext/>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keepNext/>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keepNext/>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keepNext/>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cantSplit/>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cantSplit/>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keepNext/>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cantSplit/>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keepNext/>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keepNext/>
              <w:spacing w:after="0" w:line="240" w:lineRule="auto"/>
              <w:rPr>
                <w:rFonts w:ascii="Calibri" w:eastAsia="Times New Roman" w:hAnsi="Calibri" w:cs="Calibri"/>
                <w:color w:val="000000"/>
                <w:lang w:val="en-GB" w:eastAsia="en-GB"/>
              </w:rPr>
            </w:pPr>
          </w:p>
        </w:tc>
      </w:tr>
    </w:tbl>
    <w:p>
      <w:pPr>
        <w:spacing w:before="0" w:after="0" w:line="20" w:lineRule="exact"/>
        <w:rPr>
          <w:vanish/>
          <w:sz w:val="2"/>
          <w:szCs w:val="2"/>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HAZARDOUS WASTE TEMPORARY STORAGE AREA INSTRUCTION</w:t>
          </w:r>
        </w:p>
        <w:p>
          <w:pPr>
            <w:pStyle w:val="GvdeMetni2"/>
            <w:bidi/>
            <w:spacing w:line="276" w:lineRule="auto"/>
            <w:jc w:val="center"/>
          </w:pPr>
          <w:r>
            <w:rPr>
              <w:rFonts w:asciiTheme="minorHAnsi" w:hAnsiTheme="minorHAnsi" w:cs="Arial"/>
              <w:b/>
              <w:bCs/>
              <w:color w:val="000000" w:themeColor="text1"/>
              <w:sz w:val="22"/>
              <w:szCs w:val="22"/>
              <w:rtl/>
            </w:rPr>
            <w:t>تعليمات منطقة التخزين المؤقت للنفايات الخطرة</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EMS.ÇV.TL.19.02.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EMS.ÇV.TL.19.02. HAZARDOUS WASTE TEMPORARY STORAGE AREA INSTRUCTION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