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gives the detailed rules for relaxing finished knitted fabric and spreading it at EMS, so that shrinkage and size problems after cutting are prevented. It supports the general cutting rules in EMS.ÜR.TL.05.02.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finished fabrics, ribs and collars issued to the cutting room, including elastane fabrics.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relaxation time, approves start of spreading and checks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w:t>
      </w:r>
      <w:r>
        <w:rPr>
          <w:rFonts w:ascii="Calibri" w:hAnsi="Calibri" w:cs="Arial"/>
          <w:sz w:val="24"/>
          <w:szCs w:val="24"/>
        </w:rPr>
        <w:t xml:space="preserve"> Open, relax and spread the fabric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shrinkage results, shade groups and the first 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Relaxation:</w:t>
      </w:r>
      <w:r>
        <w:rPr>
          <w:rFonts w:ascii="Calibri" w:hAnsi="Calibri" w:cs="Arial"/>
          <w:sz w:val="24"/>
          <w:szCs w:val="24"/>
        </w:rPr>
        <w:t xml:space="preserve"> Leaving the fabric free of tension so that stretch from finishing and rolling is released before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RELAXATION</w:t>
      </w:r>
    </w:p>
    <w:p>
      <w:pPr>
        <w:pStyle w:val="ListeParagraf"/>
        <w:spacing w:after="80"/>
        <w:ind w:left="709" w:right="0"/>
        <w:jc w:val="both"/>
      </w:pPr>
      <w:r>
        <w:rPr>
          <w:rFonts w:ascii="Calibri" w:hAnsi="Calibri" w:cs="Arial"/>
          <w:sz w:val="24"/>
          <w:szCs w:val="24"/>
        </w:rPr>
        <w:t xml:space="preserve">1.1. Use only fabric released by quality, with shrinkage and shade group results available.</w:t>
      </w:r>
    </w:p>
    <w:p>
      <w:pPr>
        <w:pStyle w:val="ListeParagraf"/>
        <w:spacing w:after="80"/>
        <w:ind w:left="709" w:right="0"/>
        <w:jc w:val="both"/>
      </w:pPr>
      <w:r>
        <w:rPr>
          <w:rFonts w:ascii="Calibri" w:hAnsi="Calibri" w:cs="Arial"/>
          <w:sz w:val="24"/>
          <w:szCs w:val="24"/>
        </w:rPr>
        <w:t xml:space="preserve">1.2. Open the rolls and lay the fabric loosely in folds on relaxation racks or tables; do not leave it on tight rolls.</w:t>
      </w:r>
    </w:p>
    <w:p>
      <w:pPr>
        <w:pStyle w:val="ListeParagraf"/>
        <w:spacing w:after="80"/>
        <w:ind w:left="709" w:right="0"/>
        <w:jc w:val="both"/>
      </w:pPr>
      <w:r>
        <w:rPr>
          <w:rFonts w:ascii="Calibri" w:hAnsi="Calibri" w:cs="Arial"/>
          <w:sz w:val="24"/>
          <w:szCs w:val="24"/>
        </w:rPr>
        <w:t xml:space="preserve">1.3. Relax for the time in the customer requirement; if not specified, at least 24 hours for knitted fabric and 48 hours for elastane fabric.</w:t>
      </w:r>
    </w:p>
    <w:p>
      <w:pPr>
        <w:pStyle w:val="ListeParagraf"/>
        <w:spacing w:after="80"/>
        <w:ind w:left="709" w:right="0"/>
        <w:jc w:val="both"/>
      </w:pPr>
      <w:r>
        <w:rPr>
          <w:rFonts w:ascii="Calibri" w:hAnsi="Calibri" w:cs="Arial"/>
          <w:sz w:val="24"/>
          <w:szCs w:val="24"/>
        </w:rPr>
        <w:t xml:space="preserve">1.4. Attach a relaxation card showing order, lot, shade group, start date/time and earliest spreading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SPREADING</w:t>
      </w:r>
    </w:p>
    <w:p>
      <w:pPr>
        <w:pStyle w:val="ListeParagraf"/>
        <w:spacing w:after="80"/>
        <w:ind w:left="709" w:right="0"/>
        <w:jc w:val="both"/>
      </w:pPr>
      <w:r>
        <w:rPr>
          <w:rFonts w:ascii="Calibri" w:hAnsi="Calibri" w:cs="Arial"/>
          <w:sz w:val="24"/>
          <w:szCs w:val="24"/>
        </w:rPr>
        <w:t xml:space="preserve">2.1. Spread without tension, by hand or with the spreading machine at minimum tension; edges aligned on one side.</w:t>
      </w:r>
    </w:p>
    <w:p>
      <w:pPr>
        <w:pStyle w:val="ListeParagraf"/>
        <w:spacing w:after="80"/>
        <w:ind w:left="709" w:right="0"/>
        <w:jc w:val="both"/>
      </w:pPr>
      <w:r>
        <w:rPr>
          <w:rFonts w:ascii="Calibri" w:hAnsi="Calibri" w:cs="Arial"/>
          <w:sz w:val="24"/>
          <w:szCs w:val="24"/>
        </w:rPr>
        <w:t xml:space="preserve">2.2. Keep the face side, direction and tubular/open-width form as specified in the cutting order.</w:t>
      </w:r>
    </w:p>
    <w:p>
      <w:pPr>
        <w:pStyle w:val="ListeParagraf"/>
        <w:spacing w:after="80"/>
        <w:ind w:left="709" w:right="0"/>
        <w:jc w:val="both"/>
      </w:pPr>
      <w:r>
        <w:rPr>
          <w:rFonts w:ascii="Calibri" w:hAnsi="Calibri" w:cs="Arial"/>
          <w:sz w:val="24"/>
          <w:szCs w:val="24"/>
        </w:rPr>
        <w:t xml:space="preserve">2.3. Keep each shade group and lot separate; use separator paper between lots and record them on the lay sheet.</w:t>
      </w:r>
    </w:p>
    <w:p>
      <w:pPr>
        <w:pStyle w:val="ListeParagraf"/>
        <w:spacing w:after="80"/>
        <w:ind w:left="709" w:right="0"/>
        <w:jc w:val="both"/>
      </w:pPr>
      <w:r>
        <w:rPr>
          <w:rFonts w:ascii="Calibri" w:hAnsi="Calibri" w:cs="Arial"/>
          <w:sz w:val="24"/>
          <w:szCs w:val="24"/>
        </w:rPr>
        <w:t xml:space="preserve">2.4. Respect the maximum lay height allowed for the cutting machine and fabric type.</w:t>
      </w:r>
    </w:p>
    <w:p>
      <w:pPr>
        <w:pStyle w:val="ListeParagraf"/>
        <w:spacing w:after="80"/>
        <w:ind w:left="709" w:right="0"/>
        <w:jc w:val="both"/>
      </w:pPr>
      <w:r>
        <w:rPr>
          <w:rFonts w:ascii="Calibri" w:hAnsi="Calibri" w:cs="Arial"/>
          <w:sz w:val="24"/>
          <w:szCs w:val="24"/>
        </w:rPr>
        <w:t xml:space="preserve">2.5. Before cutting, measure the length of the first lay against the marker; a difference shows that relaxation is not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cut fabric before the relaxation time is completed.</w:t>
      </w:r>
    </w:p>
    <w:p>
      <w:pPr>
        <w:pStyle w:val="ListeParagraf"/>
        <w:numPr>
          <w:ilvl w:val="0"/>
          <w:numId w:val="1"/>
        </w:numPr>
        <w:spacing w:after="60"/>
        <w:jc w:val="both"/>
      </w:pPr>
      <w:r>
        <w:rPr>
          <w:rFonts w:ascii="Calibri" w:hAnsi="Calibri" w:cs="Arial"/>
          <w:sz w:val="24"/>
          <w:szCs w:val="24"/>
        </w:rPr>
        <w:t xml:space="preserve">Do not pull or stretch fabric to match the marker length.</w:t>
      </w:r>
    </w:p>
    <w:p>
      <w:pPr>
        <w:pStyle w:val="ListeParagraf"/>
        <w:numPr>
          <w:ilvl w:val="0"/>
          <w:numId w:val="1"/>
        </w:numPr>
        <w:spacing w:after="60"/>
        <w:jc w:val="both"/>
      </w:pPr>
      <w:r>
        <w:rPr>
          <w:rFonts w:ascii="Calibri" w:hAnsi="Calibri" w:cs="Arial"/>
          <w:sz w:val="24"/>
          <w:szCs w:val="24"/>
        </w:rPr>
        <w:t xml:space="preserve">Do not mix shade groups or fabric lots in one 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RELATED DOCUMENTS AND RECORDS</w:t>
      </w:r>
    </w:p>
    <w:p>
      <w:pPr>
        <w:pStyle w:val="ListeParagraf"/>
        <w:numPr>
          <w:ilvl w:val="0"/>
          <w:numId w:val="1"/>
        </w:numPr>
        <w:spacing w:after="60"/>
        <w:jc w:val="both"/>
      </w:pPr>
      <w:r>
        <w:rPr>
          <w:rFonts w:ascii="Calibri" w:hAnsi="Calibri" w:cs="Arial"/>
          <w:sz w:val="24"/>
          <w:szCs w:val="24"/>
        </w:rPr>
        <w:t xml:space="preserve">Relaxation Card, Lay Sheet and Cutting Order</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FEEDBACK AND MONITORING</w:t>
      </w:r>
    </w:p>
    <w:p>
      <w:pPr>
        <w:pStyle w:val="ListeParagraf"/>
        <w:spacing w:after="80"/>
        <w:ind w:left="709" w:right="0"/>
        <w:jc w:val="both"/>
      </w:pPr>
      <w:r>
        <w:rPr>
          <w:rFonts w:ascii="Calibri" w:hAnsi="Calibri" w:cs="Arial"/>
          <w:sz w:val="24"/>
          <w:szCs w:val="24"/>
        </w:rPr>
        <w:t xml:space="preserve">Measurement failures caused by shrinkage and shade mixing in cut parts are monitored monthly by the Cutting Supervisor and Quality. This instruction is reviewed every year or after a related quality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القواعد التفصيلية لإراحة القماش التريكو المجهز وفرده لدى شركة إيروغلو للتريكو (EMS)، بحيث تُمنع مشاكل الانكماش والمقاسات بعد القص. وهي تدعم القواعد العامة للقص الواردة في EMS.ÜR.TL.05.02.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الأقمشة المجهزة والريب والياقات المصروفة إلى صالة القص، بما فيها الأقمشة المحتوية على الإيلاستين.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مدة الإراحة ويعتمد بدء الفرد ويفحص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w:t>
      </w:r>
      <w:r>
        <w:rPr>
          <w:rFonts w:ascii="Calibri" w:hAnsi="Calibri" w:cs="Arial"/>
          <w:rtl/>
          <w:sz w:val="24"/>
          <w:szCs w:val="24"/>
        </w:rPr>
        <w:t xml:space="preserve"> يفتحون القماش ويريحونه ويفردونه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يراجع نتائج الانكماش ومجموعات درجة اللون والفرشة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w:t>
      </w:r>
      <w:r>
        <w:rPr>
          <w:rFonts w:ascii="Calibri" w:hAnsi="Calibri" w:cs="Arial"/>
          <w:rtl/>
          <w:sz w:val="24"/>
          <w:szCs w:val="24"/>
        </w:rPr>
        <w:t xml:space="preserve"> ترك القماش دون شد حتى يتخلص من الشد الناتج عن التجهيز واللف قبل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الإراحة</w:t>
      </w:r>
    </w:p>
    <w:p>
      <w:pPr>
        <w:pStyle w:val="ListeParagraf"/>
        <w:bidi/>
        <w:spacing w:after="80"/>
        <w:ind w:left="0" w:right="709"/>
        <w:jc w:val="both"/>
      </w:pPr>
      <w:r>
        <w:rPr>
          <w:rFonts w:ascii="Calibri" w:hAnsi="Calibri" w:cs="Arial"/>
          <w:rtl/>
          <w:sz w:val="24"/>
          <w:szCs w:val="24"/>
        </w:rPr>
        <w:t xml:space="preserve">1.1. استخدم فقط القماش المفرج عنه من الجودة والمتوفرة له نتائج الانكماش ومجموعات درجة اللون.</w:t>
      </w:r>
    </w:p>
    <w:p>
      <w:pPr>
        <w:pStyle w:val="ListeParagraf"/>
        <w:bidi/>
        <w:spacing w:after="80"/>
        <w:ind w:left="0" w:right="709"/>
        <w:jc w:val="both"/>
      </w:pPr>
      <w:r>
        <w:rPr>
          <w:rFonts w:ascii="Calibri" w:hAnsi="Calibri" w:cs="Arial"/>
          <w:rtl/>
          <w:sz w:val="24"/>
          <w:szCs w:val="24"/>
        </w:rPr>
        <w:t xml:space="preserve">1.2. افتح الأثواب وضع القماش بطيات مرتخية على حوامل أو طاولات الإراحة، ولا تتركه ملفوفًا بإحكام.</w:t>
      </w:r>
    </w:p>
    <w:p>
      <w:pPr>
        <w:pStyle w:val="ListeParagraf"/>
        <w:bidi/>
        <w:spacing w:after="80"/>
        <w:ind w:left="0" w:right="709"/>
        <w:jc w:val="both"/>
      </w:pPr>
      <w:r>
        <w:rPr>
          <w:rFonts w:ascii="Calibri" w:hAnsi="Calibri" w:cs="Arial"/>
          <w:rtl/>
          <w:sz w:val="24"/>
          <w:szCs w:val="24"/>
        </w:rPr>
        <w:t xml:space="preserve">1.3. أرح القماش للمدة المحددة في متطلبات العميل؛ وإن لم تُحدد فلمدة 24 ساعة على الأقل للأقمشة التريكو و48 ساعة للأقمشة المحتوية على الإيلاستين.</w:t>
      </w:r>
    </w:p>
    <w:p>
      <w:pPr>
        <w:pStyle w:val="ListeParagraf"/>
        <w:bidi/>
        <w:spacing w:after="80"/>
        <w:ind w:left="0" w:right="709"/>
        <w:jc w:val="both"/>
      </w:pPr>
      <w:r>
        <w:rPr>
          <w:rFonts w:ascii="Calibri" w:hAnsi="Calibri" w:cs="Arial"/>
          <w:rtl/>
          <w:sz w:val="24"/>
          <w:szCs w:val="24"/>
        </w:rPr>
        <w:t xml:space="preserve">1.4. ثبّت بطاقة إراحة تبين الأمر واللوط ومجموعة درجة اللون وتاريخ/وقت البدء وأقرب وقت مسموح للفرد.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الفرد</w:t>
      </w:r>
    </w:p>
    <w:p>
      <w:pPr>
        <w:pStyle w:val="ListeParagraf"/>
        <w:bidi/>
        <w:spacing w:after="80"/>
        <w:ind w:left="0" w:right="709"/>
        <w:jc w:val="both"/>
      </w:pPr>
      <w:r>
        <w:rPr>
          <w:rFonts w:ascii="Calibri" w:hAnsi="Calibri" w:cs="Arial"/>
          <w:rtl/>
          <w:sz w:val="24"/>
          <w:szCs w:val="24"/>
        </w:rPr>
        <w:t xml:space="preserve">2.1. افرد القماش دون شد، يدويًا أو بماكينة الفرد على أقل شد، مع محاذاة الحواف من جهة واحدة.</w:t>
      </w:r>
    </w:p>
    <w:p>
      <w:pPr>
        <w:pStyle w:val="ListeParagraf"/>
        <w:bidi/>
        <w:spacing w:after="80"/>
        <w:ind w:left="0" w:right="709"/>
        <w:jc w:val="both"/>
      </w:pPr>
      <w:r>
        <w:rPr>
          <w:rFonts w:ascii="Calibri" w:hAnsi="Calibri" w:cs="Arial"/>
          <w:rtl/>
          <w:sz w:val="24"/>
          <w:szCs w:val="24"/>
        </w:rPr>
        <w:t xml:space="preserve">2.2. حافظ على وجه القماش واتجاهه وشكله (أنبوبي/مفتوح) كما هو محدد في أمر القص.</w:t>
      </w:r>
    </w:p>
    <w:p>
      <w:pPr>
        <w:pStyle w:val="ListeParagraf"/>
        <w:bidi/>
        <w:spacing w:after="80"/>
        <w:ind w:left="0" w:right="709"/>
        <w:jc w:val="both"/>
      </w:pPr>
      <w:r>
        <w:rPr>
          <w:rFonts w:ascii="Calibri" w:hAnsi="Calibri" w:cs="Arial"/>
          <w:rtl/>
          <w:sz w:val="24"/>
          <w:szCs w:val="24"/>
        </w:rPr>
        <w:t xml:space="preserve">2.3. احفظ كل مجموعة لون وكل لوط منفصلين، واستخدم ورق الفصل بين اللوطات وسجّلها في كشف الفرشة.</w:t>
      </w:r>
    </w:p>
    <w:p>
      <w:pPr>
        <w:pStyle w:val="ListeParagraf"/>
        <w:bidi/>
        <w:spacing w:after="80"/>
        <w:ind w:left="0" w:right="709"/>
        <w:jc w:val="both"/>
      </w:pPr>
      <w:r>
        <w:rPr>
          <w:rFonts w:ascii="Calibri" w:hAnsi="Calibri" w:cs="Arial"/>
          <w:rtl/>
          <w:sz w:val="24"/>
          <w:szCs w:val="24"/>
        </w:rPr>
        <w:t xml:space="preserve">2.4. التزم بأقصى ارتفاع مسموح للفرشة حسب ماكينة القص ونوع القماش.</w:t>
      </w:r>
    </w:p>
    <w:p>
      <w:pPr>
        <w:pStyle w:val="ListeParagraf"/>
        <w:bidi/>
        <w:spacing w:after="80"/>
        <w:ind w:left="0" w:right="709"/>
        <w:jc w:val="both"/>
      </w:pPr>
      <w:r>
        <w:rPr>
          <w:rFonts w:ascii="Calibri" w:hAnsi="Calibri" w:cs="Arial"/>
          <w:rtl/>
          <w:sz w:val="24"/>
          <w:szCs w:val="24"/>
        </w:rPr>
        <w:t xml:space="preserve">2.5. قبل القص، قِس طول الفرشة الأولى مقارنة بالماركر؛ فوجود فرق يدل على عدم اكتمال الإراحة.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تقص القماش قبل اكتمال مدة الإراحة.</w:t>
      </w:r>
    </w:p>
    <w:p>
      <w:pPr>
        <w:pStyle w:val="ListeParagraf"/>
        <w:numPr>
          <w:ilvl w:val="0"/>
          <w:numId w:val="1"/>
        </w:numPr>
        <w:bidi/>
        <w:spacing w:after="60"/>
        <w:jc w:val="both"/>
      </w:pPr>
      <w:r>
        <w:rPr>
          <w:rFonts w:ascii="Calibri" w:hAnsi="Calibri" w:cs="Arial"/>
          <w:rtl/>
          <w:sz w:val="24"/>
          <w:szCs w:val="24"/>
        </w:rPr>
        <w:t xml:space="preserve">لا تسحب القماش أو تشدّه ليطابق طول الماركر.</w:t>
      </w:r>
    </w:p>
    <w:p>
      <w:pPr>
        <w:pStyle w:val="ListeParagraf"/>
        <w:numPr>
          <w:ilvl w:val="0"/>
          <w:numId w:val="1"/>
        </w:numPr>
        <w:bidi/>
        <w:spacing w:after="60"/>
        <w:jc w:val="both"/>
      </w:pPr>
      <w:r>
        <w:rPr>
          <w:rFonts w:ascii="Calibri" w:hAnsi="Calibri" w:cs="Arial"/>
          <w:rtl/>
          <w:sz w:val="24"/>
          <w:szCs w:val="24"/>
        </w:rPr>
        <w:t xml:space="preserve">لا تخلط مجموعات اللون أو لوطات القماش في فرشة واحدة.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الإراحة وكشف الفرشة وأمر القص</w:t>
      </w:r>
    </w:p>
    <w:p>
      <w:pPr>
        <w:pStyle w:val="ListeParagraf"/>
        <w:numPr>
          <w:ilvl w:val="0"/>
          <w:numId w:val="1"/>
        </w:numPr>
        <w:bidi/>
        <w:spacing w:after="60"/>
        <w:jc w:val="both"/>
      </w:pPr>
      <w:r>
        <w:rPr>
          <w:rFonts w:ascii="Calibri" w:hAnsi="Calibri" w:cs="Arial"/>
          <w:rtl/>
          <w:sz w:val="24"/>
          <w:szCs w:val="24"/>
        </w:rPr>
        <w:t xml:space="preserve">EMS.ÜR.TL.05.02. تعليمات صالة القص</w:t>
      </w:r>
    </w:p>
    <w:p>
      <w:pPr>
        <w:pStyle w:val="ListeParagraf"/>
        <w:numPr>
          <w:ilvl w:val="0"/>
          <w:numId w:val="1"/>
        </w:numPr>
        <w:bidi/>
        <w:spacing w:after="60"/>
        <w:jc w:val="both"/>
      </w:pPr>
      <w:r>
        <w:rPr>
          <w:rFonts w:ascii="Calibri" w:hAnsi="Calibri" w:cs="Arial"/>
          <w:rtl/>
          <w:sz w:val="24"/>
          <w:szCs w:val="24"/>
        </w:rPr>
        <w:t xml:space="preserve">EMS.SO.PRO.23.04. إجراء التشغيل القياسي – التحكم في شريط الألوان ولوطات الصباغة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والجودة شهريًا حالات عدم مطابقة المقاسات الناتجة عن الانكماش وخلط درجات اللون في القطع المقصوصة. وتُراجع هذه التعليمات سنويًا أو بعد شكوى جودة ذات صلة.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RELAXATION AND SPREADING INSTRUCTION</w:t>
          </w:r>
        </w:p>
        <w:p>
          <w:pPr>
            <w:pStyle w:val="GvdeMetni2"/>
            <w:bidi/>
            <w:spacing w:line="276" w:lineRule="auto"/>
            <w:jc w:val="center"/>
          </w:pPr>
          <w:r>
            <w:rPr>
              <w:rFonts w:asciiTheme="minorHAnsi" w:hAnsiTheme="minorHAnsi" w:cs="Arial"/>
              <w:b/>
              <w:bCs/>
              <w:color w:val="000000" w:themeColor="text1"/>
              <w:sz w:val="22"/>
              <w:szCs w:val="22"/>
              <w:rtl/>
            </w:rPr>
            <w:t>تعليمات إراحة القماش وفرده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EMS.ÜR.TL.05.09. FABRIC RELAXATION AND SPREADING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