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supply chain security risks are identified, assessed and controlled at Eroglu Knitting (EMS), and how personnel security (pre-employment verification, ID control, training and exit) is managed, in line with the C-TPAT/GSV criteria.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the whole EMS facility and all supply chain activities under EMS control, all EMS employees (permanent and temporary), security service staff, and business partners that handle EMS cargo.</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risk assessment and the action plan and provides the necessary resources.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Manager / GSV Coordinator:</w:t>
      </w:r>
      <w:r>
        <w:rPr>
          <w:rFonts w:ascii="Calibri" w:hAnsi="Calibri" w:cs="Arial"/>
          <w:sz w:val="24"/>
          <w:szCs w:val="24"/>
        </w:rPr>
        <w:t xml:space="preserve"> Leads the risk assessment, follows the action plan, organises security training and coordinates GSV audits.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Carries out pre-employment verification, issues and cancels ID cards and keeps personnel security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IT Responsible:</w:t>
      </w:r>
      <w:r>
        <w:rPr>
          <w:rFonts w:ascii="Calibri" w:hAnsi="Calibri" w:cs="Arial"/>
          <w:sz w:val="24"/>
          <w:szCs w:val="24"/>
        </w:rPr>
        <w:t xml:space="preserve"> Opens and closes system user accounts in line with hiring and termination.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Take part in the risk assessment for their areas and implement the agreed actions.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Risk Assessment:</w:t>
      </w:r>
      <w:r>
        <w:rPr>
          <w:rFonts w:ascii="Calibri" w:hAnsi="Calibri" w:cs="Arial"/>
          <w:sz w:val="24"/>
          <w:szCs w:val="24"/>
        </w:rPr>
        <w:t xml:space="preserve"> The systematic identification of threats and vulnerabilities in the supply chain and the evaluation of their likelihood and impact.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Threat:</w:t>
      </w:r>
      <w:r>
        <w:rPr>
          <w:rFonts w:ascii="Calibri" w:hAnsi="Calibri" w:cs="Arial"/>
          <w:sz w:val="24"/>
          <w:szCs w:val="24"/>
        </w:rPr>
        <w:t xml:space="preserve"> Any event that may harm the security of the supply chain, such as theft, smuggling, tampering or unauthorised access.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Vulnerability:</w:t>
      </w:r>
      <w:r>
        <w:rPr>
          <w:rFonts w:ascii="Calibri" w:hAnsi="Calibri" w:cs="Arial"/>
          <w:sz w:val="24"/>
          <w:szCs w:val="24"/>
        </w:rPr>
        <w:t xml:space="preserve"> A weakness in physical, procedural or personnel controls that may allow a threat to occur.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Sensitive Areas:</w:t>
      </w:r>
      <w:r>
        <w:rPr>
          <w:rFonts w:ascii="Calibri" w:hAnsi="Calibri" w:cs="Arial"/>
          <w:sz w:val="24"/>
          <w:szCs w:val="24"/>
        </w:rPr>
        <w:t xml:space="preserve"> Areas such as packing, finished goods warehouse, loading bay, seal storage, server room and CCTV room.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SECURITY RISK ASSESSMENT</w:t>
      </w:r>
    </w:p>
    <w:p>
      <w:pPr>
        <w:pStyle w:val="ListeParagraf"/>
        <w:spacing w:after="80"/>
        <w:ind w:left="709" w:right="0"/>
        <w:jc w:val="both"/>
      </w:pPr>
      <w:r>
        <w:rPr>
          <w:rFonts w:ascii="Calibri" w:hAnsi="Calibri" w:cs="Arial"/>
          <w:sz w:val="24"/>
          <w:szCs w:val="24"/>
        </w:rPr>
        <w:t xml:space="preserve">1.1. The Security Manager carries out the security risk assessment at least once a year and whenever there is a new building, new process, new business partner or a security incident.</w:t>
      </w:r>
    </w:p>
    <w:p>
      <w:pPr>
        <w:pStyle w:val="ListeParagraf"/>
        <w:spacing w:after="80"/>
        <w:ind w:left="709" w:right="0"/>
        <w:jc w:val="both"/>
      </w:pPr>
      <w:r>
        <w:rPr>
          <w:rFonts w:ascii="Calibri" w:hAnsi="Calibri" w:cs="Arial"/>
          <w:sz w:val="24"/>
          <w:szCs w:val="24"/>
        </w:rPr>
        <w:t xml:space="preserve">1.2. The assessment covers the following areas:</w:t>
      </w:r>
    </w:p>
    <w:p>
      <w:pPr>
        <w:pStyle w:val="ListeParagraf"/>
        <w:numPr>
          <w:ilvl w:val="0"/>
          <w:numId w:val="1"/>
        </w:numPr>
        <w:spacing w:after="60"/>
        <w:jc w:val="both"/>
      </w:pPr>
      <w:r>
        <w:rPr>
          <w:rFonts w:ascii="Calibri" w:hAnsi="Calibri" w:cs="Arial"/>
          <w:sz w:val="24"/>
          <w:szCs w:val="24"/>
        </w:rPr>
        <w:t xml:space="preserve">Physical security: perimeter fence, gates, lighting, locks and keys, CCTV coverage and alarms,</w:t>
      </w:r>
    </w:p>
    <w:p>
      <w:pPr>
        <w:pStyle w:val="ListeParagraf"/>
        <w:numPr>
          <w:ilvl w:val="0"/>
          <w:numId w:val="1"/>
        </w:numPr>
        <w:spacing w:after="60"/>
        <w:jc w:val="both"/>
      </w:pPr>
      <w:r>
        <w:rPr>
          <w:rFonts w:ascii="Calibri" w:hAnsi="Calibri" w:cs="Arial"/>
          <w:sz w:val="24"/>
          <w:szCs w:val="24"/>
        </w:rPr>
        <w:t xml:space="preserve">Access control for employees, visitors, drivers and contractors,</w:t>
      </w:r>
    </w:p>
    <w:p>
      <w:pPr>
        <w:pStyle w:val="ListeParagraf"/>
        <w:numPr>
          <w:ilvl w:val="0"/>
          <w:numId w:val="1"/>
        </w:numPr>
        <w:spacing w:after="60"/>
        <w:jc w:val="both"/>
      </w:pPr>
      <w:r>
        <w:rPr>
          <w:rFonts w:ascii="Calibri" w:hAnsi="Calibri" w:cs="Arial"/>
          <w:sz w:val="24"/>
          <w:szCs w:val="24"/>
        </w:rPr>
        <w:t xml:space="preserve">Personnel security, procedural security (receiving, packing, loading, documentation) and information technology security,</w:t>
      </w:r>
    </w:p>
    <w:p>
      <w:pPr>
        <w:pStyle w:val="ListeParagraf"/>
        <w:numPr>
          <w:ilvl w:val="0"/>
          <w:numId w:val="1"/>
        </w:numPr>
        <w:spacing w:after="60"/>
        <w:jc w:val="both"/>
      </w:pPr>
      <w:r>
        <w:rPr>
          <w:rFonts w:ascii="Calibri" w:hAnsi="Calibri" w:cs="Arial"/>
          <w:sz w:val="24"/>
          <w:szCs w:val="24"/>
        </w:rPr>
        <w:t xml:space="preserve">Business partners and transport routes.</w:t>
      </w:r>
    </w:p>
    <w:p>
      <w:pPr>
        <w:pStyle w:val="ListeParagraf"/>
        <w:spacing w:after="80"/>
        <w:ind w:left="709" w:right="0"/>
        <w:jc w:val="both"/>
      </w:pPr>
      <w:r>
        <w:rPr>
          <w:rFonts w:ascii="Calibri" w:hAnsi="Calibri" w:cs="Arial"/>
          <w:sz w:val="24"/>
          <w:szCs w:val="24"/>
        </w:rPr>
        <w:t xml:space="preserve">1.3. Each risk is scored by likelihood and impact (1–5) and classified as high, medium or low.</w:t>
      </w:r>
    </w:p>
    <w:p>
      <w:pPr>
        <w:pStyle w:val="ListeParagraf"/>
        <w:spacing w:after="80"/>
        <w:ind w:left="709" w:right="0"/>
        <w:jc w:val="both"/>
      </w:pPr>
      <w:r>
        <w:rPr>
          <w:rFonts w:ascii="Calibri" w:hAnsi="Calibri" w:cs="Arial"/>
          <w:sz w:val="24"/>
          <w:szCs w:val="24"/>
        </w:rPr>
        <w:t xml:space="preserve">1.4. For high and medium risks an action plan is prepared with responsible persons and target dates; it is approved by the General Manager.</w:t>
      </w:r>
    </w:p>
    <w:p>
      <w:pPr>
        <w:pStyle w:val="ListeParagraf"/>
        <w:spacing w:after="80"/>
        <w:ind w:left="709" w:right="0"/>
        <w:jc w:val="both"/>
      </w:pPr>
      <w:r>
        <w:rPr>
          <w:rFonts w:ascii="Calibri" w:hAnsi="Calibri" w:cs="Arial"/>
          <w:sz w:val="24"/>
          <w:szCs w:val="24"/>
        </w:rPr>
        <w:t xml:space="preserve">1.5. The GSV self-assessment questionnaire is updated in line with the risk assessment.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PRE-EMPLOYMENT VERIFICATION</w:t>
      </w:r>
    </w:p>
    <w:p>
      <w:pPr>
        <w:pStyle w:val="ListeParagraf"/>
        <w:spacing w:after="80"/>
        <w:ind w:left="709" w:right="0"/>
        <w:jc w:val="both"/>
      </w:pPr>
      <w:r>
        <w:rPr>
          <w:rFonts w:ascii="Calibri" w:hAnsi="Calibri" w:cs="Arial"/>
          <w:sz w:val="24"/>
          <w:szCs w:val="24"/>
        </w:rPr>
        <w:t xml:space="preserve">2.1. Before hiring, HR verifies the applicant’s identity document, application information and previous employment references, in accordance with applicable Egyptian legislation and EMS.İK.PRO.01.08.</w:t>
      </w:r>
    </w:p>
    <w:p>
      <w:pPr>
        <w:pStyle w:val="ListeParagraf"/>
        <w:spacing w:after="80"/>
        <w:ind w:left="709" w:right="0"/>
        <w:jc w:val="both"/>
      </w:pPr>
      <w:r>
        <w:rPr>
          <w:rFonts w:ascii="Calibri" w:hAnsi="Calibri" w:cs="Arial"/>
          <w:sz w:val="24"/>
          <w:szCs w:val="24"/>
        </w:rPr>
        <w:t xml:space="preserve">2.2. For employees working in sensitive areas, additional background checks are carried out as permitted by applicable Egyptian legislation.</w:t>
      </w:r>
    </w:p>
    <w:p>
      <w:pPr>
        <w:pStyle w:val="ListeParagraf"/>
        <w:spacing w:after="80"/>
        <w:ind w:left="709" w:right="0"/>
        <w:jc w:val="both"/>
      </w:pPr>
      <w:r>
        <w:rPr>
          <w:rFonts w:ascii="Calibri" w:hAnsi="Calibri" w:cs="Arial"/>
          <w:sz w:val="24"/>
          <w:szCs w:val="24"/>
        </w:rPr>
        <w:t xml:space="preserve">2.3. Verification results are kept confidentially in the personnel file.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ID CARDS AND ACCESS CONTROL</w:t>
      </w:r>
    </w:p>
    <w:p>
      <w:pPr>
        <w:pStyle w:val="ListeParagraf"/>
        <w:spacing w:after="80"/>
        <w:ind w:left="709" w:right="0"/>
        <w:jc w:val="both"/>
      </w:pPr>
      <w:r>
        <w:rPr>
          <w:rFonts w:ascii="Calibri" w:hAnsi="Calibri" w:cs="Arial"/>
          <w:sz w:val="24"/>
          <w:szCs w:val="24"/>
        </w:rPr>
        <w:t xml:space="preserve">3.1. Every employee receives a photo ID card on the first working day and must wear it visibly at all times.</w:t>
      </w:r>
    </w:p>
    <w:p>
      <w:pPr>
        <w:pStyle w:val="ListeParagraf"/>
        <w:spacing w:after="80"/>
        <w:ind w:left="709" w:right="0"/>
        <w:jc w:val="both"/>
      </w:pPr>
      <w:r>
        <w:rPr>
          <w:rFonts w:ascii="Calibri" w:hAnsi="Calibri" w:cs="Arial"/>
          <w:sz w:val="24"/>
          <w:szCs w:val="24"/>
        </w:rPr>
        <w:t xml:space="preserve">3.2. Access to sensitive areas is limited to authorised employees listed by the Security Manager.</w:t>
      </w:r>
    </w:p>
    <w:p>
      <w:pPr>
        <w:pStyle w:val="ListeParagraf"/>
        <w:spacing w:after="80"/>
        <w:ind w:left="709" w:right="0"/>
        <w:jc w:val="both"/>
      </w:pPr>
      <w:r>
        <w:rPr>
          <w:rFonts w:ascii="Calibri" w:hAnsi="Calibri" w:cs="Arial"/>
          <w:sz w:val="24"/>
          <w:szCs w:val="24"/>
        </w:rPr>
        <w:t xml:space="preserve">3.3. Lost ID cards are reported immediately; the card is cancelled and a new one is issued.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SECURITY AWARENESS TRAINING</w:t>
      </w:r>
    </w:p>
    <w:p>
      <w:pPr>
        <w:pStyle w:val="ListeParagraf"/>
        <w:spacing w:after="80"/>
        <w:ind w:left="709" w:right="0"/>
        <w:jc w:val="both"/>
      </w:pPr>
      <w:r>
        <w:rPr>
          <w:rFonts w:ascii="Calibri" w:hAnsi="Calibri" w:cs="Arial"/>
          <w:sz w:val="24"/>
          <w:szCs w:val="24"/>
        </w:rPr>
        <w:t xml:space="preserve">4.1. All new employees receive security awareness training during orientation, covering access rules, suspicious activity reporting, contraband and cargo protection.</w:t>
      </w:r>
    </w:p>
    <w:p>
      <w:pPr>
        <w:pStyle w:val="ListeParagraf"/>
        <w:spacing w:after="80"/>
        <w:ind w:left="709" w:right="0"/>
        <w:jc w:val="both"/>
      </w:pPr>
      <w:r>
        <w:rPr>
          <w:rFonts w:ascii="Calibri" w:hAnsi="Calibri" w:cs="Arial"/>
          <w:sz w:val="24"/>
          <w:szCs w:val="24"/>
        </w:rPr>
        <w:t xml:space="preserve">4.2. Security guards, shipping and warehouse staff receive specific training on the 7-point inspection, seal control and threat awareness, refreshed every year.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TERMINATION OF EMPLOYMENT</w:t>
      </w:r>
    </w:p>
    <w:p>
      <w:pPr>
        <w:pStyle w:val="ListeParagraf"/>
        <w:spacing w:after="80"/>
        <w:ind w:left="709" w:right="0"/>
        <w:jc w:val="both"/>
      </w:pPr>
      <w:r>
        <w:rPr>
          <w:rFonts w:ascii="Calibri" w:hAnsi="Calibri" w:cs="Arial"/>
          <w:sz w:val="24"/>
          <w:szCs w:val="24"/>
        </w:rPr>
        <w:t xml:space="preserve">5.1. On the last working day, HR collects the ID card, keys, uniforms and any company equipment.</w:t>
      </w:r>
    </w:p>
    <w:p>
      <w:pPr>
        <w:pStyle w:val="ListeParagraf"/>
        <w:spacing w:after="80"/>
        <w:ind w:left="709" w:right="0"/>
        <w:jc w:val="both"/>
      </w:pPr>
      <w:r>
        <w:rPr>
          <w:rFonts w:ascii="Calibri" w:hAnsi="Calibri" w:cs="Arial"/>
          <w:sz w:val="24"/>
          <w:szCs w:val="24"/>
        </w:rPr>
        <w:t xml:space="preserve">5.2. IT closes system user accounts and the Security Manager cancels access rights on the same day.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Security Manager reports the following indicators in the management review:</w:t>
      </w:r>
    </w:p>
    <w:p>
      <w:pPr>
        <w:pStyle w:val="ListeParagraf"/>
        <w:numPr>
          <w:ilvl w:val="0"/>
          <w:numId w:val="1"/>
        </w:numPr>
        <w:spacing w:after="60"/>
        <w:jc w:val="both"/>
      </w:pPr>
      <w:r>
        <w:rPr>
          <w:rFonts w:ascii="Calibri" w:hAnsi="Calibri" w:cs="Arial"/>
          <w:sz w:val="24"/>
          <w:szCs w:val="24"/>
        </w:rPr>
        <w:t xml:space="preserve">Completion rate of the security risk action plan (%),</w:t>
      </w:r>
    </w:p>
    <w:p>
      <w:pPr>
        <w:pStyle w:val="ListeParagraf"/>
        <w:numPr>
          <w:ilvl w:val="0"/>
          <w:numId w:val="1"/>
        </w:numPr>
        <w:spacing w:after="60"/>
        <w:jc w:val="both"/>
      </w:pPr>
      <w:r>
        <w:rPr>
          <w:rFonts w:ascii="Calibri" w:hAnsi="Calibri" w:cs="Arial"/>
          <w:sz w:val="24"/>
          <w:szCs w:val="24"/>
        </w:rPr>
        <w:t xml:space="preserve">Percentage of employees with completed security awareness training,</w:t>
      </w:r>
    </w:p>
    <w:p>
      <w:pPr>
        <w:pStyle w:val="ListeParagraf"/>
        <w:numPr>
          <w:ilvl w:val="0"/>
          <w:numId w:val="1"/>
        </w:numPr>
        <w:spacing w:after="60"/>
        <w:jc w:val="both"/>
      </w:pPr>
      <w:r>
        <w:rPr>
          <w:rFonts w:ascii="Calibri" w:hAnsi="Calibri" w:cs="Arial"/>
          <w:sz w:val="24"/>
          <w:szCs w:val="24"/>
        </w:rPr>
        <w:t xml:space="preserve">Number of security incidents and GSV audit score.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Security Risk Assessment and Action Plan</w:t>
      </w:r>
    </w:p>
    <w:p>
      <w:pPr>
        <w:pStyle w:val="ListeParagraf"/>
        <w:numPr>
          <w:ilvl w:val="0"/>
          <w:numId w:val="1"/>
        </w:numPr>
        <w:spacing w:after="60"/>
        <w:jc w:val="both"/>
      </w:pPr>
      <w:r>
        <w:rPr>
          <w:rFonts w:ascii="Calibri" w:hAnsi="Calibri" w:cs="Arial"/>
          <w:sz w:val="24"/>
          <w:szCs w:val="24"/>
        </w:rPr>
        <w:t xml:space="preserve">GSV Self-Assessment Questionnaire and Audit Reports</w:t>
      </w:r>
    </w:p>
    <w:p>
      <w:pPr>
        <w:pStyle w:val="ListeParagraf"/>
        <w:numPr>
          <w:ilvl w:val="0"/>
          <w:numId w:val="1"/>
        </w:numPr>
        <w:spacing w:after="60"/>
        <w:jc w:val="both"/>
      </w:pPr>
      <w:r>
        <w:rPr>
          <w:rFonts w:ascii="Calibri" w:hAnsi="Calibri" w:cs="Arial"/>
          <w:sz w:val="24"/>
          <w:szCs w:val="24"/>
        </w:rPr>
        <w:t xml:space="preserve">Personnel Files and ID Card Register</w:t>
      </w:r>
    </w:p>
    <w:p>
      <w:pPr>
        <w:pStyle w:val="ListeParagraf"/>
        <w:numPr>
          <w:ilvl w:val="0"/>
          <w:numId w:val="1"/>
        </w:numPr>
        <w:spacing w:after="60"/>
        <w:jc w:val="both"/>
      </w:pPr>
      <w:r>
        <w:rPr>
          <w:rFonts w:ascii="Calibri" w:hAnsi="Calibri" w:cs="Arial"/>
          <w:sz w:val="24"/>
          <w:szCs w:val="24"/>
        </w:rPr>
        <w:t xml:space="preserve">Security Training Records</w:t>
      </w:r>
    </w:p>
    <w:p>
      <w:pPr>
        <w:pStyle w:val="ListeParagraf"/>
        <w:numPr>
          <w:ilvl w:val="0"/>
          <w:numId w:val="1"/>
        </w:numPr>
        <w:spacing w:after="60"/>
        <w:jc w:val="both"/>
      </w:pPr>
      <w:r>
        <w:rPr>
          <w:rFonts w:ascii="Calibri" w:hAnsi="Calibri" w:cs="Arial"/>
          <w:sz w:val="24"/>
          <w:szCs w:val="24"/>
        </w:rPr>
        <w:t xml:space="preserve">EMS.İD.PRO.03.01. Security Services Procedure</w:t>
      </w:r>
    </w:p>
    <w:p>
      <w:pPr>
        <w:pStyle w:val="ListeParagraf"/>
        <w:numPr>
          <w:ilvl w:val="0"/>
          <w:numId w:val="1"/>
        </w:numPr>
        <w:spacing w:after="60"/>
        <w:jc w:val="both"/>
      </w:pPr>
      <w:r>
        <w:rPr>
          <w:rFonts w:ascii="Calibri" w:hAnsi="Calibri" w:cs="Arial"/>
          <w:sz w:val="24"/>
          <w:szCs w:val="24"/>
        </w:rPr>
        <w:t xml:space="preserve">EMS.İD.PRO.03.04. Key Security Procedure</w:t>
      </w:r>
    </w:p>
    <w:p>
      <w:pPr>
        <w:pStyle w:val="ListeParagraf"/>
        <w:numPr>
          <w:ilvl w:val="0"/>
          <w:numId w:val="1"/>
        </w:numPr>
        <w:spacing w:after="60"/>
        <w:jc w:val="both"/>
      </w:pPr>
      <w:r>
        <w:rPr>
          <w:rFonts w:ascii="Calibri" w:hAnsi="Calibri" w:cs="Arial"/>
          <w:sz w:val="24"/>
          <w:szCs w:val="24"/>
        </w:rPr>
        <w:t xml:space="preserve">EMS.İK.PRO.01.08. Recruitment and Termination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procedure is reviewed every year by the Security Manager and after each security incident or GSV audit. Suggestions from employees and findings from audits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تحديد مخاطر أمن سلسلة التوريد وتقييمها والتحكم فيها في شركة إيروغلو للتريكو (EMS)، وكيفية إدارة أمن الأفراد (التحقق قبل التوظيف والتحكم في بطاقات الهوية والتدريب وانتهاء الخدمة)، بما يتوافق مع معايير C-TPAT/GSV.</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منشأة EMS بالكامل وجميع أنشطة سلسلة التوريد الخاضعة لسيطرة EMS، وجميع موظفي EMS (الدائمين والمؤقتين)، وأفراد خدمات الأمن، وشركاء العمل الذين يتعاملون مع شحنات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تقييم المخاطر وخطة العمل ويوفر الموارد اللازمة.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الأمن / منسق GSV:</w:t>
      </w:r>
      <w:r>
        <w:rPr>
          <w:rFonts w:ascii="Calibri" w:hAnsi="Calibri" w:cs="Arial"/>
          <w:rtl/>
          <w:sz w:val="24"/>
          <w:szCs w:val="24"/>
        </w:rPr>
        <w:t xml:space="preserve"> يقود تقييم المخاطر ويتابع خطة العمل وينظم التدريب الأمني وينسق تدقيقات GSV.</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يجري التحقق قبل التوظيف ويصدر بطاقات الهوية ويلغيها ويحتفظ بسجلات أمن الأفراد.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تقنية المعلومات:</w:t>
      </w:r>
      <w:r>
        <w:rPr>
          <w:rFonts w:ascii="Calibri" w:hAnsi="Calibri" w:cs="Arial"/>
          <w:rtl/>
          <w:sz w:val="24"/>
          <w:szCs w:val="24"/>
        </w:rPr>
        <w:t xml:space="preserve"> يفتح حسابات مستخدمي الأنظمة ويغلقها بالتزامن مع التعيين وانتهاء الخدمة.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يشاركون في تقييم المخاطر لمناطقهم وينفذون الإجراءات المتفق عليها.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تقييم المخاطر الأمنية:</w:t>
      </w:r>
      <w:r>
        <w:rPr>
          <w:rFonts w:ascii="Calibri" w:hAnsi="Calibri" w:cs="Arial"/>
          <w:rtl/>
          <w:sz w:val="24"/>
          <w:szCs w:val="24"/>
        </w:rPr>
        <w:t xml:space="preserve"> التحديد المنهجي للتهديدات ونقاط الضعف في سلسلة التوريد وتقييم احتمالية حدوثها وتأثيرها.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التهديد:</w:t>
      </w:r>
      <w:r>
        <w:rPr>
          <w:rFonts w:ascii="Calibri" w:hAnsi="Calibri" w:cs="Arial"/>
          <w:rtl/>
          <w:sz w:val="24"/>
          <w:szCs w:val="24"/>
        </w:rPr>
        <w:t xml:space="preserve"> أي حدث قد يضر بأمن سلسلة التوريد، مثل السرقة أو التهريب أو العبث أو الدخول غير المصرح به.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نقطة الضعف:</w:t>
      </w:r>
      <w:r>
        <w:rPr>
          <w:rFonts w:ascii="Calibri" w:hAnsi="Calibri" w:cs="Arial"/>
          <w:rtl/>
          <w:sz w:val="24"/>
          <w:szCs w:val="24"/>
        </w:rPr>
        <w:t xml:space="preserve"> خلل في الضوابط المادية أو الإجرائية أو المتعلقة بالأفراد قد يسمح بوقوع التهديد.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المناطق الحساسة:</w:t>
      </w:r>
      <w:r>
        <w:rPr>
          <w:rFonts w:ascii="Calibri" w:hAnsi="Calibri" w:cs="Arial"/>
          <w:rtl/>
          <w:sz w:val="24"/>
          <w:szCs w:val="24"/>
        </w:rPr>
        <w:t xml:space="preserve"> مناطق مثل التعبئة ومستودع المنتجات التامة ورصيف التحميل ومخزن الأختام وغرفة الخوادم وغرفة كاميرات المراقبة.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تقييم المخاطر الأمنية</w:t>
      </w:r>
    </w:p>
    <w:p>
      <w:pPr>
        <w:pStyle w:val="ListeParagraf"/>
        <w:bidi/>
        <w:spacing w:after="80"/>
        <w:ind w:left="0" w:right="709"/>
        <w:jc w:val="both"/>
      </w:pPr>
      <w:r>
        <w:rPr>
          <w:rFonts w:ascii="Calibri" w:hAnsi="Calibri" w:cs="Arial"/>
          <w:rtl/>
          <w:sz w:val="24"/>
          <w:szCs w:val="24"/>
        </w:rPr>
        <w:t xml:space="preserve">1.1. يجري مدير الأمن تقييم المخاطر الأمنية مرة واحدة سنويًا على الأقل، وكلما وُجد مبنى جديد أو عملية جديدة أو شريك عمل جديد أو وقع حادث أمني.</w:t>
      </w:r>
    </w:p>
    <w:p>
      <w:pPr>
        <w:pStyle w:val="ListeParagraf"/>
        <w:bidi/>
        <w:spacing w:after="80"/>
        <w:ind w:left="0" w:right="709"/>
        <w:jc w:val="both"/>
      </w:pPr>
      <w:r>
        <w:rPr>
          <w:rFonts w:ascii="Calibri" w:hAnsi="Calibri" w:cs="Arial"/>
          <w:rtl/>
          <w:sz w:val="24"/>
          <w:szCs w:val="24"/>
        </w:rPr>
        <w:t xml:space="preserve">1.2. يشمل التقييم المجالات التالية:</w:t>
      </w:r>
    </w:p>
    <w:p>
      <w:pPr>
        <w:pStyle w:val="ListeParagraf"/>
        <w:numPr>
          <w:ilvl w:val="0"/>
          <w:numId w:val="1"/>
        </w:numPr>
        <w:bidi/>
        <w:spacing w:after="60"/>
        <w:jc w:val="both"/>
      </w:pPr>
      <w:r>
        <w:rPr>
          <w:rFonts w:ascii="Calibri" w:hAnsi="Calibri" w:cs="Arial"/>
          <w:rtl/>
          <w:sz w:val="24"/>
          <w:szCs w:val="24"/>
        </w:rPr>
        <w:t xml:space="preserve">الأمن المادي: السور الخارجي والبوابات والإضاءة والأقفال والمفاتيح وتغطية كاميرات المراقبة وأجهزة الإنذار،</w:t>
      </w:r>
    </w:p>
    <w:p>
      <w:pPr>
        <w:pStyle w:val="ListeParagraf"/>
        <w:numPr>
          <w:ilvl w:val="0"/>
          <w:numId w:val="1"/>
        </w:numPr>
        <w:bidi/>
        <w:spacing w:after="60"/>
        <w:jc w:val="both"/>
      </w:pPr>
      <w:r>
        <w:rPr>
          <w:rFonts w:ascii="Calibri" w:hAnsi="Calibri" w:cs="Arial"/>
          <w:rtl/>
          <w:sz w:val="24"/>
          <w:szCs w:val="24"/>
        </w:rPr>
        <w:t xml:space="preserve">التحكم في دخول الموظفين والزوار والسائقين والمقاولين،</w:t>
      </w:r>
    </w:p>
    <w:p>
      <w:pPr>
        <w:pStyle w:val="ListeParagraf"/>
        <w:numPr>
          <w:ilvl w:val="0"/>
          <w:numId w:val="1"/>
        </w:numPr>
        <w:bidi/>
        <w:spacing w:after="60"/>
        <w:jc w:val="both"/>
      </w:pPr>
      <w:r>
        <w:rPr>
          <w:rFonts w:ascii="Calibri" w:hAnsi="Calibri" w:cs="Arial"/>
          <w:rtl/>
          <w:sz w:val="24"/>
          <w:szCs w:val="24"/>
        </w:rPr>
        <w:t xml:space="preserve">أمن الأفراد والأمن الإجرائي (الاستلام والتعبئة والتحميل والمستندات) وأمن تقنية المعلومات،</w:t>
      </w:r>
    </w:p>
    <w:p>
      <w:pPr>
        <w:pStyle w:val="ListeParagraf"/>
        <w:numPr>
          <w:ilvl w:val="0"/>
          <w:numId w:val="1"/>
        </w:numPr>
        <w:bidi/>
        <w:spacing w:after="60"/>
        <w:jc w:val="both"/>
      </w:pPr>
      <w:r>
        <w:rPr>
          <w:rFonts w:ascii="Calibri" w:hAnsi="Calibri" w:cs="Arial"/>
          <w:rtl/>
          <w:sz w:val="24"/>
          <w:szCs w:val="24"/>
        </w:rPr>
        <w:t xml:space="preserve">شركاء العمل ومسارات النقل.</w:t>
      </w:r>
    </w:p>
    <w:p>
      <w:pPr>
        <w:pStyle w:val="ListeParagraf"/>
        <w:bidi/>
        <w:spacing w:after="80"/>
        <w:ind w:left="0" w:right="709"/>
        <w:jc w:val="both"/>
      </w:pPr>
      <w:r>
        <w:rPr>
          <w:rFonts w:ascii="Calibri" w:hAnsi="Calibri" w:cs="Arial"/>
          <w:rtl/>
          <w:sz w:val="24"/>
          <w:szCs w:val="24"/>
        </w:rPr>
        <w:t xml:space="preserve">1.3. يُقيّم كل خطر حسب الاحتمالية والتأثير (1–5) ويُصنف إلى مرتفع أو متوسط أو منخفض.</w:t>
      </w:r>
    </w:p>
    <w:p>
      <w:pPr>
        <w:pStyle w:val="ListeParagraf"/>
        <w:bidi/>
        <w:spacing w:after="80"/>
        <w:ind w:left="0" w:right="709"/>
        <w:jc w:val="both"/>
      </w:pPr>
      <w:r>
        <w:rPr>
          <w:rFonts w:ascii="Calibri" w:hAnsi="Calibri" w:cs="Arial"/>
          <w:rtl/>
          <w:sz w:val="24"/>
          <w:szCs w:val="24"/>
        </w:rPr>
        <w:t xml:space="preserve">1.4. تُعد خطة عمل للمخاطر المرتفعة والمتوسطة تتضمن المسؤولين والمواعيد المستهدفة، ويعتمدها المدير العام.</w:t>
      </w:r>
    </w:p>
    <w:p>
      <w:pPr>
        <w:pStyle w:val="ListeParagraf"/>
        <w:bidi/>
        <w:spacing w:after="80"/>
        <w:ind w:left="0" w:right="709"/>
        <w:jc w:val="both"/>
      </w:pPr>
      <w:r>
        <w:rPr>
          <w:rFonts w:ascii="Calibri" w:hAnsi="Calibri" w:cs="Arial"/>
          <w:rtl/>
          <w:sz w:val="24"/>
          <w:szCs w:val="24"/>
        </w:rPr>
        <w:t xml:space="preserve">1.5. يُحدّث استبيان التقييم الذاتي لـ GSV بما يتوافق مع تقييم المخاطر.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التحقق قبل التوظيف</w:t>
      </w:r>
    </w:p>
    <w:p>
      <w:pPr>
        <w:pStyle w:val="ListeParagraf"/>
        <w:bidi/>
        <w:spacing w:after="80"/>
        <w:ind w:left="0" w:right="709"/>
        <w:jc w:val="both"/>
      </w:pPr>
      <w:r>
        <w:rPr>
          <w:rFonts w:ascii="Calibri" w:hAnsi="Calibri" w:cs="Arial"/>
          <w:rtl/>
          <w:sz w:val="24"/>
          <w:szCs w:val="24"/>
        </w:rPr>
        <w:t xml:space="preserve">2.1. قبل التعيين تتحقق الموارد البشرية من وثيقة هوية المتقدم وبيانات طلب التوظيف ومراجع العمل السابقة، وفقًا للتشريعات المصرية المعمول بها والإجراء EMS.İK.PRO.01.08.</w:t>
      </w:r>
    </w:p>
    <w:p>
      <w:pPr>
        <w:pStyle w:val="ListeParagraf"/>
        <w:bidi/>
        <w:spacing w:after="80"/>
        <w:ind w:left="0" w:right="709"/>
        <w:jc w:val="both"/>
      </w:pPr>
      <w:r>
        <w:rPr>
          <w:rFonts w:ascii="Calibri" w:hAnsi="Calibri" w:cs="Arial"/>
          <w:rtl/>
          <w:sz w:val="24"/>
          <w:szCs w:val="24"/>
        </w:rPr>
        <w:t xml:space="preserve">2.2. بالنسبة للموظفين العاملين في المناطق الحساسة تُجرى فحوصات إضافية للخلفية في الحدود التي تسمح بها التشريعات المصرية المعمول بها.</w:t>
      </w:r>
    </w:p>
    <w:p>
      <w:pPr>
        <w:pStyle w:val="ListeParagraf"/>
        <w:bidi/>
        <w:spacing w:after="80"/>
        <w:ind w:left="0" w:right="709"/>
        <w:jc w:val="both"/>
      </w:pPr>
      <w:r>
        <w:rPr>
          <w:rFonts w:ascii="Calibri" w:hAnsi="Calibri" w:cs="Arial"/>
          <w:rtl/>
          <w:sz w:val="24"/>
          <w:szCs w:val="24"/>
        </w:rPr>
        <w:t xml:space="preserve">2.3. تُحفظ نتائج التحقق بسرية في الملف الشخصي للموظف.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بطاقات الهوية والتحكم في الدخول</w:t>
      </w:r>
    </w:p>
    <w:p>
      <w:pPr>
        <w:pStyle w:val="ListeParagraf"/>
        <w:bidi/>
        <w:spacing w:after="80"/>
        <w:ind w:left="0" w:right="709"/>
        <w:jc w:val="both"/>
      </w:pPr>
      <w:r>
        <w:rPr>
          <w:rFonts w:ascii="Calibri" w:hAnsi="Calibri" w:cs="Arial"/>
          <w:rtl/>
          <w:sz w:val="24"/>
          <w:szCs w:val="24"/>
        </w:rPr>
        <w:t xml:space="preserve">3.1. يحصل كل موظف على بطاقة هوية بصورة في أول يوم عمل، ويجب أن يرتديها بشكل ظاهر في جميع الأوقات.</w:t>
      </w:r>
    </w:p>
    <w:p>
      <w:pPr>
        <w:pStyle w:val="ListeParagraf"/>
        <w:bidi/>
        <w:spacing w:after="80"/>
        <w:ind w:left="0" w:right="709"/>
        <w:jc w:val="both"/>
      </w:pPr>
      <w:r>
        <w:rPr>
          <w:rFonts w:ascii="Calibri" w:hAnsi="Calibri" w:cs="Arial"/>
          <w:rtl/>
          <w:sz w:val="24"/>
          <w:szCs w:val="24"/>
        </w:rPr>
        <w:t xml:space="preserve">3.2. يقتصر دخول المناطق الحساسة على الموظفين المصرح لهم المدرجين في القائمة التي يعدها مدير الأمن.</w:t>
      </w:r>
    </w:p>
    <w:p>
      <w:pPr>
        <w:pStyle w:val="ListeParagraf"/>
        <w:bidi/>
        <w:spacing w:after="80"/>
        <w:ind w:left="0" w:right="709"/>
        <w:jc w:val="both"/>
      </w:pPr>
      <w:r>
        <w:rPr>
          <w:rFonts w:ascii="Calibri" w:hAnsi="Calibri" w:cs="Arial"/>
          <w:rtl/>
          <w:sz w:val="24"/>
          <w:szCs w:val="24"/>
        </w:rPr>
        <w:t xml:space="preserve">3.3. يُبلغ فورًا عن فقدان بطاقة الهوية، فتُلغى البطاقة وتُصدر بطاقة جديدة.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التدريب على الوعي الأمني</w:t>
      </w:r>
    </w:p>
    <w:p>
      <w:pPr>
        <w:pStyle w:val="ListeParagraf"/>
        <w:bidi/>
        <w:spacing w:after="80"/>
        <w:ind w:left="0" w:right="709"/>
        <w:jc w:val="both"/>
      </w:pPr>
      <w:r>
        <w:rPr>
          <w:rFonts w:ascii="Calibri" w:hAnsi="Calibri" w:cs="Arial"/>
          <w:rtl/>
          <w:sz w:val="24"/>
          <w:szCs w:val="24"/>
        </w:rPr>
        <w:t xml:space="preserve">4.1. يتلقى جميع الموظفين الجدد تدريبًا على الوعي الأمني خلال برنامج التعريف، يشمل قواعد الدخول والإبلاغ عن النشاط المشبوه والمهربات وحماية الشحنات.</w:t>
      </w:r>
    </w:p>
    <w:p>
      <w:pPr>
        <w:pStyle w:val="ListeParagraf"/>
        <w:bidi/>
        <w:spacing w:after="80"/>
        <w:ind w:left="0" w:right="709"/>
        <w:jc w:val="both"/>
      </w:pPr>
      <w:r>
        <w:rPr>
          <w:rFonts w:ascii="Calibri" w:hAnsi="Calibri" w:cs="Arial"/>
          <w:rtl/>
          <w:sz w:val="24"/>
          <w:szCs w:val="24"/>
        </w:rPr>
        <w:t xml:space="preserve">4.2. يتلقى أفراد الأمن وموظفو الشحن والمستودعات تدريبًا خاصًا على فحص النقاط السبع والتحكم في الأختام والوعي بالتهديدات، ويُجدد سنويًا.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انتهاء الخدمة</w:t>
      </w:r>
    </w:p>
    <w:p>
      <w:pPr>
        <w:pStyle w:val="ListeParagraf"/>
        <w:bidi/>
        <w:spacing w:after="80"/>
        <w:ind w:left="0" w:right="709"/>
        <w:jc w:val="both"/>
      </w:pPr>
      <w:r>
        <w:rPr>
          <w:rFonts w:ascii="Calibri" w:hAnsi="Calibri" w:cs="Arial"/>
          <w:rtl/>
          <w:sz w:val="24"/>
          <w:szCs w:val="24"/>
        </w:rPr>
        <w:t xml:space="preserve">5.1. في آخر يوم عمل تستلم الموارد البشرية بطاقة الهوية والمفاتيح والزي الرسمي وأي معدات تابعة للشركة.</w:t>
      </w:r>
    </w:p>
    <w:p>
      <w:pPr>
        <w:pStyle w:val="ListeParagraf"/>
        <w:bidi/>
        <w:spacing w:after="80"/>
        <w:ind w:left="0" w:right="709"/>
        <w:jc w:val="both"/>
      </w:pPr>
      <w:r>
        <w:rPr>
          <w:rFonts w:ascii="Calibri" w:hAnsi="Calibri" w:cs="Arial"/>
          <w:rtl/>
          <w:sz w:val="24"/>
          <w:szCs w:val="24"/>
        </w:rPr>
        <w:t xml:space="preserve">5.2. يغلق قسم تقنية المعلومات حسابات مستخدمي الأنظمة ويلغي مدير الأمن صلاحيات الدخول في اليوم نفسه.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يعرض مدير الأمن المؤشرات التالية في مراجعة الإدارة:</w:t>
      </w:r>
    </w:p>
    <w:p>
      <w:pPr>
        <w:pStyle w:val="ListeParagraf"/>
        <w:numPr>
          <w:ilvl w:val="0"/>
          <w:numId w:val="1"/>
        </w:numPr>
        <w:bidi/>
        <w:spacing w:after="60"/>
        <w:jc w:val="both"/>
      </w:pPr>
      <w:r>
        <w:rPr>
          <w:rFonts w:ascii="Calibri" w:hAnsi="Calibri" w:cs="Arial"/>
          <w:rtl/>
          <w:sz w:val="24"/>
          <w:szCs w:val="24"/>
        </w:rPr>
        <w:t xml:space="preserve">نسبة تنفيذ خطة عمل المخاطر الأمنية (%)،</w:t>
      </w:r>
    </w:p>
    <w:p>
      <w:pPr>
        <w:pStyle w:val="ListeParagraf"/>
        <w:numPr>
          <w:ilvl w:val="0"/>
          <w:numId w:val="1"/>
        </w:numPr>
        <w:bidi/>
        <w:spacing w:after="60"/>
        <w:jc w:val="both"/>
      </w:pPr>
      <w:r>
        <w:rPr>
          <w:rFonts w:ascii="Calibri" w:hAnsi="Calibri" w:cs="Arial"/>
          <w:rtl/>
          <w:sz w:val="24"/>
          <w:szCs w:val="24"/>
        </w:rPr>
        <w:t xml:space="preserve">نسبة الموظفين الذين أكملوا التدريب على الوعي الأمني،</w:t>
      </w:r>
    </w:p>
    <w:p>
      <w:pPr>
        <w:pStyle w:val="ListeParagraf"/>
        <w:numPr>
          <w:ilvl w:val="0"/>
          <w:numId w:val="1"/>
        </w:numPr>
        <w:bidi/>
        <w:spacing w:after="60"/>
        <w:jc w:val="both"/>
      </w:pPr>
      <w:r>
        <w:rPr>
          <w:rFonts w:ascii="Calibri" w:hAnsi="Calibri" w:cs="Arial"/>
          <w:rtl/>
          <w:sz w:val="24"/>
          <w:szCs w:val="24"/>
        </w:rPr>
        <w:t xml:space="preserve">عدد الحوادث الأمنية ونتيجة تدقيق GSV.</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تقييم المخاطر الأمنية وخطة العمل</w:t>
      </w:r>
    </w:p>
    <w:p>
      <w:pPr>
        <w:pStyle w:val="ListeParagraf"/>
        <w:numPr>
          <w:ilvl w:val="0"/>
          <w:numId w:val="1"/>
        </w:numPr>
        <w:bidi/>
        <w:spacing w:after="60"/>
        <w:jc w:val="both"/>
      </w:pPr>
      <w:r>
        <w:rPr>
          <w:rFonts w:ascii="Calibri" w:hAnsi="Calibri" w:cs="Arial"/>
          <w:rtl/>
          <w:sz w:val="24"/>
          <w:szCs w:val="24"/>
        </w:rPr>
        <w:t xml:space="preserve">استبيان التقييم الذاتي لـ GSV وتقارير التدقيق</w:t>
      </w:r>
    </w:p>
    <w:p>
      <w:pPr>
        <w:pStyle w:val="ListeParagraf"/>
        <w:numPr>
          <w:ilvl w:val="0"/>
          <w:numId w:val="1"/>
        </w:numPr>
        <w:bidi/>
        <w:spacing w:after="60"/>
        <w:jc w:val="both"/>
      </w:pPr>
      <w:r>
        <w:rPr>
          <w:rFonts w:ascii="Calibri" w:hAnsi="Calibri" w:cs="Arial"/>
          <w:rtl/>
          <w:sz w:val="24"/>
          <w:szCs w:val="24"/>
        </w:rPr>
        <w:t xml:space="preserve">الملفات الشخصية للموظفين وسجل بطاقات الهوية</w:t>
      </w:r>
    </w:p>
    <w:p>
      <w:pPr>
        <w:pStyle w:val="ListeParagraf"/>
        <w:numPr>
          <w:ilvl w:val="0"/>
          <w:numId w:val="1"/>
        </w:numPr>
        <w:bidi/>
        <w:spacing w:after="60"/>
        <w:jc w:val="both"/>
      </w:pPr>
      <w:r>
        <w:rPr>
          <w:rFonts w:ascii="Calibri" w:hAnsi="Calibri" w:cs="Arial"/>
          <w:rtl/>
          <w:sz w:val="24"/>
          <w:szCs w:val="24"/>
        </w:rPr>
        <w:t xml:space="preserve">سجلات التدريب الأمني</w:t>
      </w:r>
    </w:p>
    <w:p>
      <w:pPr>
        <w:pStyle w:val="ListeParagraf"/>
        <w:numPr>
          <w:ilvl w:val="0"/>
          <w:numId w:val="1"/>
        </w:numPr>
        <w:bidi/>
        <w:spacing w:after="60"/>
        <w:jc w:val="both"/>
      </w:pPr>
      <w:r>
        <w:rPr>
          <w:rFonts w:ascii="Calibri" w:hAnsi="Calibri" w:cs="Arial"/>
          <w:rtl/>
          <w:sz w:val="24"/>
          <w:szCs w:val="24"/>
        </w:rPr>
        <w:t xml:space="preserve">EMS.İD.PRO.03.01. إجراء خدمات الأمن</w:t>
      </w:r>
    </w:p>
    <w:p>
      <w:pPr>
        <w:pStyle w:val="ListeParagraf"/>
        <w:numPr>
          <w:ilvl w:val="0"/>
          <w:numId w:val="1"/>
        </w:numPr>
        <w:bidi/>
        <w:spacing w:after="60"/>
        <w:jc w:val="both"/>
      </w:pPr>
      <w:r>
        <w:rPr>
          <w:rFonts w:ascii="Calibri" w:hAnsi="Calibri" w:cs="Arial"/>
          <w:rtl/>
          <w:sz w:val="24"/>
          <w:szCs w:val="24"/>
        </w:rPr>
        <w:t xml:space="preserve">EMS.İD.PRO.03.04. إجراء أمن المفاتيح</w:t>
      </w:r>
    </w:p>
    <w:p>
      <w:pPr>
        <w:pStyle w:val="ListeParagraf"/>
        <w:numPr>
          <w:ilvl w:val="0"/>
          <w:numId w:val="1"/>
        </w:numPr>
        <w:bidi/>
        <w:spacing w:after="60"/>
        <w:jc w:val="both"/>
      </w:pPr>
      <w:r>
        <w:rPr>
          <w:rFonts w:ascii="Calibri" w:hAnsi="Calibri" w:cs="Arial"/>
          <w:rtl/>
          <w:sz w:val="24"/>
          <w:szCs w:val="24"/>
        </w:rPr>
        <w:t xml:space="preserve">EMS.İK.PRO.01.08. إجراء التوظيف وإنهاء الخدمة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الأمن، وبعد كل حادث أمني أو تدقيق GSV. وتُقيّم اقتراحات الموظفين ونتائج التدقيقات، ويُعدل الإجراء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SECURITY RISK ASSESSMENT AND PERSONNEL SECURITY PROCEDURE</w:t>
          </w:r>
        </w:p>
        <w:p>
          <w:pPr>
            <w:pStyle w:val="GvdeMetni2"/>
            <w:bidi/>
            <w:spacing w:line="276" w:lineRule="auto"/>
            <w:jc w:val="center"/>
          </w:pPr>
          <w:r>
            <w:rPr>
              <w:rFonts w:asciiTheme="minorHAnsi" w:hAnsiTheme="minorHAnsi" w:cs="Arial"/>
              <w:b/>
              <w:bCs/>
              <w:color w:val="000000" w:themeColor="text1"/>
              <w:sz w:val="22"/>
              <w:szCs w:val="22"/>
              <w:rtl/>
            </w:rPr>
            <w:t>إجراء تقييم المخاطر الأمنية وأمن الأفراد</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EMS.İD.PRO.03.06.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EMS.İD.PRO.03.06. SECURITY RISK ASSESSMENT AND PERSONNEL SECURITY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