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identifies workplace hazards, assesses the related OHS risks and determines control measures, so that injuries and ill health are prevented in line with ISO 45001.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w:t>
      </w:r>
    </w:p>
    <w:p>
      <w:pPr>
        <w:pStyle w:val="ListeParagraf"/>
        <w:spacing w:after="80"/>
        <w:ind w:left="709" w:right="0"/>
        <w:jc w:val="both"/>
      </w:pPr>
      <w:r>
        <w:rPr>
          <w:rFonts w:ascii="Calibri" w:hAnsi="Calibri" w:cs="Arial"/>
          <w:sz w:val="24"/>
          <w:szCs w:val="24"/>
        </w:rPr>
        <w:t xml:space="preserve">• All routine and non-routine activities in all departments, including maintenance, cleaning and contractor work,</w:t>
      </w:r>
    </w:p>
    <w:p>
      <w:pPr>
        <w:pStyle w:val="ListeParagraf"/>
        <w:spacing w:after="80"/>
        <w:ind w:left="709" w:right="0"/>
        <w:jc w:val="both"/>
      </w:pPr>
      <w:r>
        <w:rPr>
          <w:rFonts w:ascii="Calibri" w:hAnsi="Calibri" w:cs="Arial"/>
          <w:sz w:val="24"/>
          <w:szCs w:val="24"/>
        </w:rPr>
        <w:t xml:space="preserve">• All machines, chemicals, utilities, buildings and work environment factors (noise, heat, dust, lighting, ergonomics),</w:t>
      </w:r>
    </w:p>
    <w:p>
      <w:pPr>
        <w:pStyle w:val="ListeParagraf"/>
        <w:spacing w:after="80"/>
        <w:ind w:left="709" w:right="0"/>
        <w:jc w:val="both"/>
      </w:pPr>
      <w:r>
        <w:rPr>
          <w:rFonts w:ascii="Calibri" w:hAnsi="Calibri" w:cs="Arial"/>
          <w:sz w:val="24"/>
          <w:szCs w:val="24"/>
        </w:rPr>
        <w:t xml:space="preserve">• New processes, new machines and changes, and special groups such as pregnant workers, young workers and employees with disabilities.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 / HSE Specialist:</w:t>
      </w:r>
      <w:r>
        <w:rPr>
          <w:rFonts w:ascii="Calibri" w:hAnsi="Calibri" w:cs="Arial"/>
          <w:sz w:val="24"/>
          <w:szCs w:val="24"/>
        </w:rPr>
        <w:t xml:space="preserve"> Coordinates the risk assessment, leads the team and keeps the risk register up to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 Assessment Team:</w:t>
      </w:r>
      <w:r>
        <w:rPr>
          <w:rFonts w:ascii="Calibri" w:hAnsi="Calibri" w:cs="Arial"/>
          <w:sz w:val="24"/>
          <w:szCs w:val="24"/>
        </w:rPr>
        <w:t xml:space="preserve"> Department manager, supervisor, OHS specialist, maintenance representative and a worker representative; together they assess the risks of each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Implement the control measures in their area within the agreed deadlines.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Workplace Doctor / Nurse:</w:t>
      </w:r>
      <w:r>
        <w:rPr>
          <w:rFonts w:ascii="Calibri" w:hAnsi="Calibri" w:cs="Arial"/>
          <w:sz w:val="24"/>
          <w:szCs w:val="24"/>
        </w:rPr>
        <w:t xml:space="preserve"> Gives input on health risks and special groups.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Take part in the assessment, report hazards and follow the control measures.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Likelihood (L):</w:t>
      </w:r>
      <w:r>
        <w:rPr>
          <w:rFonts w:ascii="Calibri" w:hAnsi="Calibri" w:cs="Arial"/>
          <w:sz w:val="24"/>
          <w:szCs w:val="24"/>
        </w:rPr>
        <w:t xml:space="preserve"> How probable it is that the hazardous event occurs, scored from 1 (very unlikely) to 5 (almost certain).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Severity (S):</w:t>
      </w:r>
      <w:r>
        <w:rPr>
          <w:rFonts w:ascii="Calibri" w:hAnsi="Calibri" w:cs="Arial"/>
          <w:sz w:val="24"/>
          <w:szCs w:val="24"/>
        </w:rPr>
        <w:t xml:space="preserve"> The seriousness of the possible harm, scored from 1 (minor) to 5 (fatal or permanent disability).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 Score:</w:t>
      </w:r>
      <w:r>
        <w:rPr>
          <w:rFonts w:ascii="Calibri" w:hAnsi="Calibri" w:cs="Arial"/>
          <w:sz w:val="24"/>
          <w:szCs w:val="24"/>
        </w:rPr>
        <w:t xml:space="preserve"> L × S. 1–6 low, 8–12 medium, 15–25 high.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Residual Risk:</w:t>
      </w:r>
      <w:r>
        <w:rPr>
          <w:rFonts w:ascii="Calibri" w:hAnsi="Calibri" w:cs="Arial"/>
          <w:sz w:val="24"/>
          <w:szCs w:val="24"/>
        </w:rPr>
        <w:t xml:space="preserve"> The risk remaining after the control measures have been applied.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PLANNING</w:t>
      </w:r>
    </w:p>
    <w:p>
      <w:pPr>
        <w:pStyle w:val="ListeParagraf"/>
        <w:spacing w:after="80"/>
        <w:ind w:left="709" w:right="0"/>
        <w:jc w:val="both"/>
      </w:pPr>
      <w:r>
        <w:rPr>
          <w:rFonts w:ascii="Calibri" w:hAnsi="Calibri" w:cs="Arial"/>
          <w:sz w:val="24"/>
          <w:szCs w:val="24"/>
        </w:rPr>
        <w:t xml:space="preserve">1.1. The OHS Manager prepares an annual risk assessment plan covering every department.</w:t>
      </w:r>
    </w:p>
    <w:p>
      <w:pPr>
        <w:pStyle w:val="ListeParagraf"/>
        <w:spacing w:after="80"/>
        <w:ind w:left="709" w:right="0"/>
        <w:jc w:val="both"/>
      </w:pPr>
      <w:r>
        <w:rPr>
          <w:rFonts w:ascii="Calibri" w:hAnsi="Calibri" w:cs="Arial"/>
          <w:sz w:val="24"/>
          <w:szCs w:val="24"/>
        </w:rPr>
        <w:t xml:space="preserve">1.2. A full review is made at least once a year. An additional assessment is made before a new machine, chemical or process is introduced, after a change in layout, after a serious incident or when legislation changes.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HAZARD IDENTIFICATION</w:t>
      </w:r>
    </w:p>
    <w:p>
      <w:pPr>
        <w:pStyle w:val="ListeParagraf"/>
        <w:spacing w:after="80"/>
        <w:ind w:left="709" w:right="0"/>
        <w:jc w:val="both"/>
      </w:pPr>
      <w:r>
        <w:rPr>
          <w:rFonts w:ascii="Calibri" w:hAnsi="Calibri" w:cs="Arial"/>
          <w:sz w:val="24"/>
          <w:szCs w:val="24"/>
        </w:rPr>
        <w:t xml:space="preserve">2.1. The team walks through the area, observes the work, talks with the workers and reviews incident, near miss and health records.</w:t>
      </w:r>
    </w:p>
    <w:p>
      <w:pPr>
        <w:pStyle w:val="ListeParagraf"/>
        <w:spacing w:after="80"/>
        <w:ind w:left="709" w:right="0"/>
        <w:jc w:val="both"/>
      </w:pPr>
      <w:r>
        <w:rPr>
          <w:rFonts w:ascii="Calibri" w:hAnsi="Calibri" w:cs="Arial"/>
          <w:sz w:val="24"/>
          <w:szCs w:val="24"/>
        </w:rPr>
        <w:t xml:space="preserve">2.2. Each task is listed and its hazards are identified, for example:</w:t>
      </w:r>
    </w:p>
    <w:p>
      <w:pPr>
        <w:pStyle w:val="ListeParagraf"/>
        <w:numPr>
          <w:ilvl w:val="0"/>
          <w:numId w:val="1"/>
        </w:numPr>
        <w:spacing w:after="60"/>
        <w:jc w:val="both"/>
      </w:pPr>
      <w:r>
        <w:rPr>
          <w:rFonts w:ascii="Calibri" w:hAnsi="Calibri" w:cs="Arial"/>
          <w:sz w:val="24"/>
          <w:szCs w:val="24"/>
        </w:rPr>
        <w:t xml:space="preserve">Mechanical: moving parts of knitting, sewing and cutting machines, needles, knives, forklifts,</w:t>
      </w:r>
    </w:p>
    <w:p>
      <w:pPr>
        <w:pStyle w:val="ListeParagraf"/>
        <w:numPr>
          <w:ilvl w:val="0"/>
          <w:numId w:val="1"/>
        </w:numPr>
        <w:spacing w:after="60"/>
        <w:jc w:val="both"/>
      </w:pPr>
      <w:r>
        <w:rPr>
          <w:rFonts w:ascii="Calibri" w:hAnsi="Calibri" w:cs="Arial"/>
          <w:sz w:val="24"/>
          <w:szCs w:val="24"/>
        </w:rPr>
        <w:t xml:space="preserve">Electrical, thermal and pressure: panels, steam, boilers, compressors, hot surfaces of stenters and presses,</w:t>
      </w:r>
    </w:p>
    <w:p>
      <w:pPr>
        <w:pStyle w:val="ListeParagraf"/>
        <w:numPr>
          <w:ilvl w:val="0"/>
          <w:numId w:val="1"/>
        </w:numPr>
        <w:spacing w:after="60"/>
        <w:jc w:val="both"/>
      </w:pPr>
      <w:r>
        <w:rPr>
          <w:rFonts w:ascii="Calibri" w:hAnsi="Calibri" w:cs="Arial"/>
          <w:sz w:val="24"/>
          <w:szCs w:val="24"/>
        </w:rPr>
        <w:t xml:space="preserve">Chemical: dyes, auxiliaries, caustic soda, acids and solvents, according to the safety data sheets,</w:t>
      </w:r>
    </w:p>
    <w:p>
      <w:pPr>
        <w:pStyle w:val="ListeParagraf"/>
        <w:numPr>
          <w:ilvl w:val="0"/>
          <w:numId w:val="1"/>
        </w:numPr>
        <w:spacing w:after="60"/>
        <w:jc w:val="both"/>
      </w:pPr>
      <w:r>
        <w:rPr>
          <w:rFonts w:ascii="Calibri" w:hAnsi="Calibri" w:cs="Arial"/>
          <w:sz w:val="24"/>
          <w:szCs w:val="24"/>
        </w:rPr>
        <w:t xml:space="preserve">Physical and ergonomic: noise, heat, cotton dust, lighting, manual handling, repetitive work and long standing,</w:t>
      </w:r>
    </w:p>
    <w:p>
      <w:pPr>
        <w:pStyle w:val="ListeParagraf"/>
        <w:numPr>
          <w:ilvl w:val="0"/>
          <w:numId w:val="1"/>
        </w:numPr>
        <w:spacing w:after="60"/>
        <w:jc w:val="both"/>
      </w:pPr>
      <w:r>
        <w:rPr>
          <w:rFonts w:ascii="Calibri" w:hAnsi="Calibri" w:cs="Arial"/>
          <w:sz w:val="24"/>
          <w:szCs w:val="24"/>
        </w:rPr>
        <w:t xml:space="preserve">Fire, slips, trips, falls and work at height.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RISK EVALUATION</w:t>
      </w:r>
    </w:p>
    <w:p>
      <w:pPr>
        <w:pStyle w:val="ListeParagraf"/>
        <w:spacing w:after="80"/>
        <w:ind w:left="709" w:right="0"/>
        <w:jc w:val="both"/>
      </w:pPr>
      <w:r>
        <w:rPr>
          <w:rFonts w:ascii="Calibri" w:hAnsi="Calibri" w:cs="Arial"/>
          <w:sz w:val="24"/>
          <w:szCs w:val="24"/>
        </w:rPr>
        <w:t xml:space="preserve">3.1. For each hazard the likelihood and severity are scored and the risk score is calculated, taking into account the existing controls.</w:t>
      </w:r>
    </w:p>
    <w:p>
      <w:pPr>
        <w:pStyle w:val="ListeParagraf"/>
        <w:spacing w:after="80"/>
        <w:ind w:left="709" w:right="0"/>
        <w:jc w:val="both"/>
      </w:pPr>
      <w:r>
        <w:rPr>
          <w:rFonts w:ascii="Calibri" w:hAnsi="Calibri" w:cs="Arial"/>
          <w:sz w:val="24"/>
          <w:szCs w:val="24"/>
        </w:rPr>
        <w:t xml:space="preserve">3.2. High risks (15–25) are not accepted: the work is stopped or immediate temporary measures are taken until the risk is reduced.</w:t>
      </w:r>
    </w:p>
    <w:p>
      <w:pPr>
        <w:pStyle w:val="ListeParagraf"/>
        <w:spacing w:after="80"/>
        <w:ind w:left="709" w:right="0"/>
        <w:jc w:val="both"/>
      </w:pPr>
      <w:r>
        <w:rPr>
          <w:rFonts w:ascii="Calibri" w:hAnsi="Calibri" w:cs="Arial"/>
          <w:sz w:val="24"/>
          <w:szCs w:val="24"/>
        </w:rPr>
        <w:t xml:space="preserve">3.3. Medium risks (8–12) are reduced with an action plan within 3 months; low risks (1–6) are monitored.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CONTROL MEASURES</w:t>
      </w:r>
    </w:p>
    <w:p>
      <w:pPr>
        <w:pStyle w:val="ListeParagraf"/>
        <w:spacing w:after="80"/>
        <w:ind w:left="709" w:right="0"/>
        <w:jc w:val="both"/>
      </w:pPr>
      <w:r>
        <w:rPr>
          <w:rFonts w:ascii="Calibri" w:hAnsi="Calibri" w:cs="Arial"/>
          <w:sz w:val="24"/>
          <w:szCs w:val="24"/>
        </w:rPr>
        <w:t xml:space="preserve">4.1. Control measures are selected according to the hierarchy: elimination, substitution, engineering controls (guards, ventilation, interlocks), administrative controls (instructions, training, permits, rotation) and PPE.</w:t>
      </w:r>
    </w:p>
    <w:p>
      <w:pPr>
        <w:pStyle w:val="ListeParagraf"/>
        <w:spacing w:after="80"/>
        <w:ind w:left="709" w:right="0"/>
        <w:jc w:val="both"/>
      </w:pPr>
      <w:r>
        <w:rPr>
          <w:rFonts w:ascii="Calibri" w:hAnsi="Calibri" w:cs="Arial"/>
          <w:sz w:val="24"/>
          <w:szCs w:val="24"/>
        </w:rPr>
        <w:t xml:space="preserve">4.2. Each action has a responsible person and a deadline. After implementation, the residual risk is re-scored.</w:t>
      </w:r>
    </w:p>
    <w:p>
      <w:pPr>
        <w:pStyle w:val="ListeParagraf"/>
        <w:spacing w:after="80"/>
        <w:ind w:left="709" w:right="0"/>
        <w:jc w:val="both"/>
      </w:pPr>
      <w:r>
        <w:rPr>
          <w:rFonts w:ascii="Calibri" w:hAnsi="Calibri" w:cs="Arial"/>
          <w:sz w:val="24"/>
          <w:szCs w:val="24"/>
        </w:rPr>
        <w:t xml:space="preserve">4.3. The results are communicated to the workers of the area, and risk summaries are displayed at the workstations.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RECORDS AND FOLLOW-UP</w:t>
      </w:r>
    </w:p>
    <w:p>
      <w:pPr>
        <w:pStyle w:val="ListeParagraf"/>
        <w:spacing w:after="80"/>
        <w:ind w:left="709" w:right="0"/>
        <w:jc w:val="both"/>
      </w:pPr>
      <w:r>
        <w:rPr>
          <w:rFonts w:ascii="Calibri" w:hAnsi="Calibri" w:cs="Arial"/>
          <w:sz w:val="24"/>
          <w:szCs w:val="24"/>
        </w:rPr>
        <w:t xml:space="preserve">5.1. All results are recorded in the Risk Assessment Register, which is signed by the team and approved by the General Manager.</w:t>
      </w:r>
    </w:p>
    <w:p>
      <w:pPr>
        <w:pStyle w:val="ListeParagraf"/>
        <w:spacing w:after="80"/>
        <w:ind w:left="709" w:right="0"/>
        <w:jc w:val="both"/>
      </w:pPr>
      <w:r>
        <w:rPr>
          <w:rFonts w:ascii="Calibri" w:hAnsi="Calibri" w:cs="Arial"/>
          <w:sz w:val="24"/>
          <w:szCs w:val="24"/>
        </w:rPr>
        <w:t xml:space="preserve">5.2. The OHS Manager follows open actions every month and reports the status to the OHS Committee.</w:t>
      </w:r>
    </w:p>
    <w:p>
      <w:pPr>
        <w:pStyle w:val="ListeParagraf"/>
        <w:spacing w:after="80"/>
        <w:ind w:left="709" w:right="0"/>
        <w:jc w:val="both"/>
      </w:pPr>
      <w:r>
        <w:rPr>
          <w:rFonts w:ascii="Calibri" w:hAnsi="Calibri" w:cs="Arial"/>
          <w:sz w:val="24"/>
          <w:szCs w:val="24"/>
        </w:rPr>
        <w:t xml:space="preserve">5.3. Key indicators: percentage of areas assessed on time, percentage of actions closed by the deadline, number of high risks remaining open (target: zero).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Risk Assessment Register</w:t>
      </w:r>
    </w:p>
    <w:p>
      <w:pPr>
        <w:pStyle w:val="ListeParagraf"/>
        <w:numPr>
          <w:ilvl w:val="0"/>
          <w:numId w:val="1"/>
        </w:numPr>
        <w:spacing w:after="60"/>
        <w:jc w:val="both"/>
      </w:pPr>
      <w:r>
        <w:rPr>
          <w:rFonts w:ascii="Calibri" w:hAnsi="Calibri" w:cs="Arial"/>
          <w:sz w:val="24"/>
          <w:szCs w:val="24"/>
        </w:rPr>
        <w:t xml:space="preserve">Risk Assessment Action Plan</w:t>
      </w:r>
    </w:p>
    <w:p>
      <w:pPr>
        <w:pStyle w:val="ListeParagraf"/>
        <w:numPr>
          <w:ilvl w:val="0"/>
          <w:numId w:val="1"/>
        </w:numPr>
        <w:spacing w:after="60"/>
        <w:jc w:val="both"/>
      </w:pPr>
      <w:r>
        <w:rPr>
          <w:rFonts w:ascii="Calibri" w:hAnsi="Calibri" w:cs="Arial"/>
          <w:sz w:val="24"/>
          <w:szCs w:val="24"/>
        </w:rPr>
        <w:t xml:space="preserve">EMS.İS.POL.18.01. Occupational Health and Safety Policy</w:t>
      </w:r>
    </w:p>
    <w:p>
      <w:pPr>
        <w:pStyle w:val="ListeParagraf"/>
        <w:numPr>
          <w:ilvl w:val="0"/>
          <w:numId w:val="1"/>
        </w:numPr>
        <w:spacing w:after="60"/>
        <w:jc w:val="both"/>
      </w:pPr>
      <w:r>
        <w:rPr>
          <w:rFonts w:ascii="Calibri" w:hAnsi="Calibri" w:cs="Arial"/>
          <w:sz w:val="24"/>
          <w:szCs w:val="24"/>
        </w:rPr>
        <w:t xml:space="preserve">EMS.İS.PRO.18.03. Personal Protective Equipment Management Procedure</w:t>
      </w:r>
    </w:p>
    <w:p>
      <w:pPr>
        <w:pStyle w:val="ListeParagraf"/>
        <w:numPr>
          <w:ilvl w:val="0"/>
          <w:numId w:val="1"/>
        </w:numPr>
        <w:spacing w:after="60"/>
        <w:jc w:val="both"/>
      </w:pPr>
      <w:r>
        <w:rPr>
          <w:rFonts w:ascii="Calibri" w:hAnsi="Calibri" w:cs="Arial"/>
          <w:sz w:val="24"/>
          <w:szCs w:val="24"/>
        </w:rPr>
        <w:t xml:space="preserve">EMS.İS.PRO.18.04. Permit to Work Procedure (Hot Work, Work at Height, Confined Space)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 OHS SP10 Management of Change Procedure</w:t>
      </w:r>
    </w:p>
    <w:p>
      <w:pPr>
        <w:pStyle w:val="ListeParagraf"/>
        <w:numPr>
          <w:ilvl w:val="0"/>
          <w:numId w:val="1"/>
        </w:numPr>
        <w:spacing w:after="60"/>
        <w:jc w:val="both"/>
      </w:pPr>
      <w:r>
        <w:rPr>
          <w:rFonts w:ascii="Calibri" w:hAnsi="Calibri" w:cs="Arial"/>
          <w:sz w:val="24"/>
          <w:szCs w:val="24"/>
        </w:rPr>
        <w:t xml:space="preserve">EMS OHS SP15 Incident Investigation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status of risk actions is reported every month to the OHS Committee and every year to the management review. This procedure is reviewed every year by the OHS Manager and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بتحديد مصادر الخطر في مكان العمل وتقييم مخاطر الصحة والسلامة المهنية المرتبطة بها وتحديد إجراءات التحكم، وذلك لمنع الإصابات والأمراض وفقًا لمعيار ISO 45001.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w:t>
      </w:r>
    </w:p>
    <w:p>
      <w:pPr>
        <w:pStyle w:val="ListeParagraf"/>
        <w:bidi/>
        <w:spacing w:after="80"/>
        <w:ind w:left="0" w:right="709"/>
        <w:jc w:val="both"/>
      </w:pPr>
      <w:r>
        <w:rPr>
          <w:rFonts w:ascii="Calibri" w:hAnsi="Calibri" w:cs="Arial"/>
          <w:rtl/>
          <w:sz w:val="24"/>
          <w:szCs w:val="24"/>
        </w:rPr>
        <w:t xml:space="preserve">• جميع الأنشطة الروتينية وغير الروتينية في جميع الأقسام، بما في ذلك أعمال الصيانة والتنظيف والمقاولين،</w:t>
      </w:r>
    </w:p>
    <w:p>
      <w:pPr>
        <w:pStyle w:val="ListeParagraf"/>
        <w:bidi/>
        <w:spacing w:after="80"/>
        <w:ind w:left="0" w:right="709"/>
        <w:jc w:val="both"/>
      </w:pPr>
      <w:r>
        <w:rPr>
          <w:rFonts w:ascii="Calibri" w:hAnsi="Calibri" w:cs="Arial"/>
          <w:rtl/>
          <w:sz w:val="24"/>
          <w:szCs w:val="24"/>
        </w:rPr>
        <w:t xml:space="preserve">• جميع الآلات والمواد الكيميائية والمرافق والمباني وعوامل بيئة العمل (الضوضاء والحرارة والغبار والإضاءة وبيئة العمل المريحة)،</w:t>
      </w:r>
    </w:p>
    <w:p>
      <w:pPr>
        <w:pStyle w:val="ListeParagraf"/>
        <w:bidi/>
        <w:spacing w:after="80"/>
        <w:ind w:left="0" w:right="709"/>
        <w:jc w:val="both"/>
      </w:pPr>
      <w:r>
        <w:rPr>
          <w:rFonts w:ascii="Calibri" w:hAnsi="Calibri" w:cs="Arial"/>
          <w:rtl/>
          <w:sz w:val="24"/>
          <w:szCs w:val="24"/>
        </w:rPr>
        <w:t xml:space="preserve">• العمليات الجديدة والآلات الجديدة والتغييرات، والفئات الخاصة مثل العاملات الحوامل والعمال صغار السن والموظفين ذوي الإعاقة.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الصحة والسلامة المهنية / أخصائي HSE:</w:t>
      </w:r>
      <w:r>
        <w:rPr>
          <w:rFonts w:ascii="Calibri" w:hAnsi="Calibri" w:cs="Arial"/>
          <w:rtl/>
          <w:sz w:val="24"/>
          <w:szCs w:val="24"/>
        </w:rPr>
        <w:t xml:space="preserve"> ينسق تقييم المخاطر ويقود الفريق ويحدّث سجل المخاطر باستمرار.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تقييم المخاطر:</w:t>
      </w:r>
      <w:r>
        <w:rPr>
          <w:rFonts w:ascii="Calibri" w:hAnsi="Calibri" w:cs="Arial"/>
          <w:rtl/>
          <w:sz w:val="24"/>
          <w:szCs w:val="24"/>
        </w:rPr>
        <w:t xml:space="preserve"> مدير القسم والمشرف وأخصائي السلامة وممثل الصيانة وممثل العمال؛ يقيّمون معًا مخاطر كل منطقة.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ينفذون إجراءات التحكم في مناطقهم خلال المواعيد المتفق عليها.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طبيب / ممرض مكان العمل:</w:t>
      </w:r>
      <w:r>
        <w:rPr>
          <w:rFonts w:ascii="Calibri" w:hAnsi="Calibri" w:cs="Arial"/>
          <w:rtl/>
          <w:sz w:val="24"/>
          <w:szCs w:val="24"/>
        </w:rPr>
        <w:t xml:space="preserve"> يقدم رأيه في المخاطر الصحية والفئات الخاصة.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يشاركون في التقييم ويبلغون عن المخاطر ويتبعون إجراءات التحكم.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الاحتمال (L):</w:t>
      </w:r>
      <w:r>
        <w:rPr>
          <w:rFonts w:ascii="Calibri" w:hAnsi="Calibri" w:cs="Arial"/>
          <w:rtl/>
          <w:sz w:val="24"/>
          <w:szCs w:val="24"/>
        </w:rPr>
        <w:t xml:space="preserve"> مدى احتمال وقوع الحدث الخطر، ويُقدّر من 1 (غير محتمل جدًا) إلى 5 (شبه مؤكد).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الشدة (S):</w:t>
      </w:r>
      <w:r>
        <w:rPr>
          <w:rFonts w:ascii="Calibri" w:hAnsi="Calibri" w:cs="Arial"/>
          <w:rtl/>
          <w:sz w:val="24"/>
          <w:szCs w:val="24"/>
        </w:rPr>
        <w:t xml:space="preserve"> مدى خطورة الضرر المحتمل، وتُقدّر من 1 (طفيف) إلى 5 (وفاة أو عجز دائم).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درجة المخاطرة:</w:t>
      </w:r>
      <w:r>
        <w:rPr>
          <w:rFonts w:ascii="Calibri" w:hAnsi="Calibri" w:cs="Arial"/>
          <w:rtl/>
          <w:sz w:val="24"/>
          <w:szCs w:val="24"/>
        </w:rPr>
        <w:t xml:space="preserve"> L × S. من 1 إلى 6 منخفضة، ومن 8 إلى 12 متوسطة، ومن 15 إلى 25 عالية.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المخاطرة المتبقية:</w:t>
      </w:r>
      <w:r>
        <w:rPr>
          <w:rFonts w:ascii="Calibri" w:hAnsi="Calibri" w:cs="Arial"/>
          <w:rtl/>
          <w:sz w:val="24"/>
          <w:szCs w:val="24"/>
        </w:rPr>
        <w:t xml:space="preserve"> المخاطرة التي تبقى بعد تطبيق إجراءات التحكم.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التخطيط</w:t>
      </w:r>
    </w:p>
    <w:p>
      <w:pPr>
        <w:pStyle w:val="ListeParagraf"/>
        <w:bidi/>
        <w:spacing w:after="80"/>
        <w:ind w:left="0" w:right="709"/>
        <w:jc w:val="both"/>
      </w:pPr>
      <w:r>
        <w:rPr>
          <w:rFonts w:ascii="Calibri" w:hAnsi="Calibri" w:cs="Arial"/>
          <w:rtl/>
          <w:sz w:val="24"/>
          <w:szCs w:val="24"/>
        </w:rPr>
        <w:t xml:space="preserve">1.1. يعد مدير الصحة والسلامة المهنية خطة سنوية لتقييم المخاطر تغطي جميع الأقسام.</w:t>
      </w:r>
    </w:p>
    <w:p>
      <w:pPr>
        <w:pStyle w:val="ListeParagraf"/>
        <w:bidi/>
        <w:spacing w:after="80"/>
        <w:ind w:left="0" w:right="709"/>
        <w:jc w:val="both"/>
      </w:pPr>
      <w:r>
        <w:rPr>
          <w:rFonts w:ascii="Calibri" w:hAnsi="Calibri" w:cs="Arial"/>
          <w:rtl/>
          <w:sz w:val="24"/>
          <w:szCs w:val="24"/>
        </w:rPr>
        <w:t xml:space="preserve">1.2. تُجرى مراجعة كاملة مرة واحدة على الأقل سنويًا. ويُجرى تقييم إضافي قبل إدخال آلة أو مادة كيميائية أو عملية جديدة، وبعد تغيير المخطط، وبعد وقوع حادث جسيم، أو عند تغير التشريعات.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تحديد مصادر الخطر</w:t>
      </w:r>
    </w:p>
    <w:p>
      <w:pPr>
        <w:pStyle w:val="ListeParagraf"/>
        <w:bidi/>
        <w:spacing w:after="80"/>
        <w:ind w:left="0" w:right="709"/>
        <w:jc w:val="both"/>
      </w:pPr>
      <w:r>
        <w:rPr>
          <w:rFonts w:ascii="Calibri" w:hAnsi="Calibri" w:cs="Arial"/>
          <w:rtl/>
          <w:sz w:val="24"/>
          <w:szCs w:val="24"/>
        </w:rPr>
        <w:t xml:space="preserve">2.1. يتجول الفريق في المنطقة ويلاحظ العمل ويتحدث مع العمال ويراجع سجلات الحوادث والحوادث الوشيكة والسجلات الصحية.</w:t>
      </w:r>
    </w:p>
    <w:p>
      <w:pPr>
        <w:pStyle w:val="ListeParagraf"/>
        <w:bidi/>
        <w:spacing w:after="80"/>
        <w:ind w:left="0" w:right="709"/>
        <w:jc w:val="both"/>
      </w:pPr>
      <w:r>
        <w:rPr>
          <w:rFonts w:ascii="Calibri" w:hAnsi="Calibri" w:cs="Arial"/>
          <w:rtl/>
          <w:sz w:val="24"/>
          <w:szCs w:val="24"/>
        </w:rPr>
        <w:t xml:space="preserve">2.2. تُدرج كل مهمة وتُحدد مصادر الخطر المرتبطة بها، مثل:</w:t>
      </w:r>
    </w:p>
    <w:p>
      <w:pPr>
        <w:pStyle w:val="ListeParagraf"/>
        <w:numPr>
          <w:ilvl w:val="0"/>
          <w:numId w:val="1"/>
        </w:numPr>
        <w:bidi/>
        <w:spacing w:after="60"/>
        <w:jc w:val="both"/>
      </w:pPr>
      <w:r>
        <w:rPr>
          <w:rFonts w:ascii="Calibri" w:hAnsi="Calibri" w:cs="Arial"/>
          <w:rtl/>
          <w:sz w:val="24"/>
          <w:szCs w:val="24"/>
        </w:rPr>
        <w:t xml:space="preserve">المخاطر الميكانيكية: الأجزاء المتحركة لآلات التريكو والخياطة والقص، والإبر، والسكاكين، والرافعات الشوكية،</w:t>
      </w:r>
    </w:p>
    <w:p>
      <w:pPr>
        <w:pStyle w:val="ListeParagraf"/>
        <w:numPr>
          <w:ilvl w:val="0"/>
          <w:numId w:val="1"/>
        </w:numPr>
        <w:bidi/>
        <w:spacing w:after="60"/>
        <w:jc w:val="both"/>
      </w:pPr>
      <w:r>
        <w:rPr>
          <w:rFonts w:ascii="Calibri" w:hAnsi="Calibri" w:cs="Arial"/>
          <w:rtl/>
          <w:sz w:val="24"/>
          <w:szCs w:val="24"/>
        </w:rPr>
        <w:t xml:space="preserve">المخاطر الكهربائية والحرارية ومخاطر الضغط: اللوحات الكهربائية والبخار والغلايات والضواغط والأسطح الساخنة لماكينات الرام والمكابس،</w:t>
      </w:r>
    </w:p>
    <w:p>
      <w:pPr>
        <w:pStyle w:val="ListeParagraf"/>
        <w:numPr>
          <w:ilvl w:val="0"/>
          <w:numId w:val="1"/>
        </w:numPr>
        <w:bidi/>
        <w:spacing w:after="60"/>
        <w:jc w:val="both"/>
      </w:pPr>
      <w:r>
        <w:rPr>
          <w:rFonts w:ascii="Calibri" w:hAnsi="Calibri" w:cs="Arial"/>
          <w:rtl/>
          <w:sz w:val="24"/>
          <w:szCs w:val="24"/>
        </w:rPr>
        <w:t xml:space="preserve">المخاطر الكيميائية: الأصباغ والمواد المساعدة والصودا الكاوية والأحماض والمذيبات، وفقًا لصحائف بيانات السلامة،</w:t>
      </w:r>
    </w:p>
    <w:p>
      <w:pPr>
        <w:pStyle w:val="ListeParagraf"/>
        <w:numPr>
          <w:ilvl w:val="0"/>
          <w:numId w:val="1"/>
        </w:numPr>
        <w:bidi/>
        <w:spacing w:after="60"/>
        <w:jc w:val="both"/>
      </w:pPr>
      <w:r>
        <w:rPr>
          <w:rFonts w:ascii="Calibri" w:hAnsi="Calibri" w:cs="Arial"/>
          <w:rtl/>
          <w:sz w:val="24"/>
          <w:szCs w:val="24"/>
        </w:rPr>
        <w:t xml:space="preserve">المخاطر الفيزيائية والمتعلقة ببيئة العمل: الضوضاء والحرارة وغبار القطن والإضاءة والمناولة اليدوية والعمل المتكرر والوقوف لفترات طويلة،</w:t>
      </w:r>
    </w:p>
    <w:p>
      <w:pPr>
        <w:pStyle w:val="ListeParagraf"/>
        <w:numPr>
          <w:ilvl w:val="0"/>
          <w:numId w:val="1"/>
        </w:numPr>
        <w:bidi/>
        <w:spacing w:after="60"/>
        <w:jc w:val="both"/>
      </w:pPr>
      <w:r>
        <w:rPr>
          <w:rFonts w:ascii="Calibri" w:hAnsi="Calibri" w:cs="Arial"/>
          <w:rtl/>
          <w:sz w:val="24"/>
          <w:szCs w:val="24"/>
        </w:rPr>
        <w:t xml:space="preserve">الحريق والانزلاق والتعثر والسقوط والعمل على ارتفاع.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تقييم المخاطرة</w:t>
      </w:r>
    </w:p>
    <w:p>
      <w:pPr>
        <w:pStyle w:val="ListeParagraf"/>
        <w:bidi/>
        <w:spacing w:after="80"/>
        <w:ind w:left="0" w:right="709"/>
        <w:jc w:val="both"/>
      </w:pPr>
      <w:r>
        <w:rPr>
          <w:rFonts w:ascii="Calibri" w:hAnsi="Calibri" w:cs="Arial"/>
          <w:rtl/>
          <w:sz w:val="24"/>
          <w:szCs w:val="24"/>
        </w:rPr>
        <w:t xml:space="preserve">3.1. لكل مصدر خطر يُقدّر الاحتمال والشدة وتُحسب درجة المخاطرة، مع مراعاة الضوابط القائمة.</w:t>
      </w:r>
    </w:p>
    <w:p>
      <w:pPr>
        <w:pStyle w:val="ListeParagraf"/>
        <w:bidi/>
        <w:spacing w:after="80"/>
        <w:ind w:left="0" w:right="709"/>
        <w:jc w:val="both"/>
      </w:pPr>
      <w:r>
        <w:rPr>
          <w:rFonts w:ascii="Calibri" w:hAnsi="Calibri" w:cs="Arial"/>
          <w:rtl/>
          <w:sz w:val="24"/>
          <w:szCs w:val="24"/>
        </w:rPr>
        <w:t xml:space="preserve">3.2. لا تُقبل المخاطر العالية (من 15 إلى 25): يُوقف العمل أو تُتخذ إجراءات مؤقتة فورية حتى تنخفض المخاطرة.</w:t>
      </w:r>
    </w:p>
    <w:p>
      <w:pPr>
        <w:pStyle w:val="ListeParagraf"/>
        <w:bidi/>
        <w:spacing w:after="80"/>
        <w:ind w:left="0" w:right="709"/>
        <w:jc w:val="both"/>
      </w:pPr>
      <w:r>
        <w:rPr>
          <w:rFonts w:ascii="Calibri" w:hAnsi="Calibri" w:cs="Arial"/>
          <w:rtl/>
          <w:sz w:val="24"/>
          <w:szCs w:val="24"/>
        </w:rPr>
        <w:t xml:space="preserve">3.3. تُخفض المخاطر المتوسطة (من 8 إلى 12) بخطة عمل خلال 3 أشهر، وتُتابع المخاطر المنخفضة (من 1 إلى 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إجراءات التحكم</w:t>
      </w:r>
    </w:p>
    <w:p>
      <w:pPr>
        <w:pStyle w:val="ListeParagraf"/>
        <w:bidi/>
        <w:spacing w:after="80"/>
        <w:ind w:left="0" w:right="709"/>
        <w:jc w:val="both"/>
      </w:pPr>
      <w:r>
        <w:rPr>
          <w:rFonts w:ascii="Calibri" w:hAnsi="Calibri" w:cs="Arial"/>
          <w:rtl/>
          <w:sz w:val="24"/>
          <w:szCs w:val="24"/>
        </w:rPr>
        <w:t xml:space="preserve">4.1. تُختار إجراءات التحكم وفق التسلسل التالي: الإزالة، ثم الاستبدال، ثم الضوابط الهندسية (الواقيات والتهوية وأقفال الأمان)، ثم الضوابط الإدارية (التعليمات والتدريب وتصاريح العمل والتناوب)، ثم معدات الحماية الشخصية.</w:t>
      </w:r>
    </w:p>
    <w:p>
      <w:pPr>
        <w:pStyle w:val="ListeParagraf"/>
        <w:bidi/>
        <w:spacing w:after="80"/>
        <w:ind w:left="0" w:right="709"/>
        <w:jc w:val="both"/>
      </w:pPr>
      <w:r>
        <w:rPr>
          <w:rFonts w:ascii="Calibri" w:hAnsi="Calibri" w:cs="Arial"/>
          <w:rtl/>
          <w:sz w:val="24"/>
          <w:szCs w:val="24"/>
        </w:rPr>
        <w:t xml:space="preserve">4.2. لكل إجراء شخص مسؤول وموعد نهائي. وبعد التنفيذ يُعاد تقدير المخاطرة المتبقية.</w:t>
      </w:r>
    </w:p>
    <w:p>
      <w:pPr>
        <w:pStyle w:val="ListeParagraf"/>
        <w:bidi/>
        <w:spacing w:after="80"/>
        <w:ind w:left="0" w:right="709"/>
        <w:jc w:val="both"/>
      </w:pPr>
      <w:r>
        <w:rPr>
          <w:rFonts w:ascii="Calibri" w:hAnsi="Calibri" w:cs="Arial"/>
          <w:rtl/>
          <w:sz w:val="24"/>
          <w:szCs w:val="24"/>
        </w:rPr>
        <w:t xml:space="preserve">4.3. تُبلغ النتائج لعمال المنطقة، وتُعلق ملخصات المخاطر في مواقع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السجلات والمتابعة</w:t>
      </w:r>
    </w:p>
    <w:p>
      <w:pPr>
        <w:pStyle w:val="ListeParagraf"/>
        <w:bidi/>
        <w:spacing w:after="80"/>
        <w:ind w:left="0" w:right="709"/>
        <w:jc w:val="both"/>
      </w:pPr>
      <w:r>
        <w:rPr>
          <w:rFonts w:ascii="Calibri" w:hAnsi="Calibri" w:cs="Arial"/>
          <w:rtl/>
          <w:sz w:val="24"/>
          <w:szCs w:val="24"/>
        </w:rPr>
        <w:t xml:space="preserve">5.1. تُسجل جميع النتائج في سجل تقييم المخاطر الذي يوقعه الفريق ويعتمده المدير العام.</w:t>
      </w:r>
    </w:p>
    <w:p>
      <w:pPr>
        <w:pStyle w:val="ListeParagraf"/>
        <w:bidi/>
        <w:spacing w:after="80"/>
        <w:ind w:left="0" w:right="709"/>
        <w:jc w:val="both"/>
      </w:pPr>
      <w:r>
        <w:rPr>
          <w:rFonts w:ascii="Calibri" w:hAnsi="Calibri" w:cs="Arial"/>
          <w:rtl/>
          <w:sz w:val="24"/>
          <w:szCs w:val="24"/>
        </w:rPr>
        <w:t xml:space="preserve">5.2. يتابع مدير الصحة والسلامة المهنية الإجراءات المفتوحة شهريًا ويرفع حالتها إلى لجنة الصحة والسلامة المهنية.</w:t>
      </w:r>
    </w:p>
    <w:p>
      <w:pPr>
        <w:pStyle w:val="ListeParagraf"/>
        <w:bidi/>
        <w:spacing w:after="80"/>
        <w:ind w:left="0" w:right="709"/>
        <w:jc w:val="both"/>
      </w:pPr>
      <w:r>
        <w:rPr>
          <w:rFonts w:ascii="Calibri" w:hAnsi="Calibri" w:cs="Arial"/>
          <w:rtl/>
          <w:sz w:val="24"/>
          <w:szCs w:val="24"/>
        </w:rPr>
        <w:t xml:space="preserve">5.3. المؤشرات الرئيسية: نسبة المناطق التي قُيّمت في موعدها، ونسبة الإجراءات المغلقة في الموعد النهائي، وعدد المخاطر العالية المفتوحة (الهدف: صفر).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تقييم المخاطر</w:t>
      </w:r>
    </w:p>
    <w:p>
      <w:pPr>
        <w:pStyle w:val="ListeParagraf"/>
        <w:numPr>
          <w:ilvl w:val="0"/>
          <w:numId w:val="1"/>
        </w:numPr>
        <w:bidi/>
        <w:spacing w:after="60"/>
        <w:jc w:val="both"/>
      </w:pPr>
      <w:r>
        <w:rPr>
          <w:rFonts w:ascii="Calibri" w:hAnsi="Calibri" w:cs="Arial"/>
          <w:rtl/>
          <w:sz w:val="24"/>
          <w:szCs w:val="24"/>
        </w:rPr>
        <w:t xml:space="preserve">خطة عمل تقييم المخاطر</w:t>
      </w:r>
    </w:p>
    <w:p>
      <w:pPr>
        <w:pStyle w:val="ListeParagraf"/>
        <w:numPr>
          <w:ilvl w:val="0"/>
          <w:numId w:val="1"/>
        </w:numPr>
        <w:bidi/>
        <w:spacing w:after="60"/>
        <w:jc w:val="both"/>
      </w:pPr>
      <w:r>
        <w:rPr>
          <w:rFonts w:ascii="Calibri" w:hAnsi="Calibri" w:cs="Arial"/>
          <w:rtl/>
          <w:sz w:val="24"/>
          <w:szCs w:val="24"/>
        </w:rPr>
        <w:t xml:space="preserve">EMS.İS.POL.18.01. سياسة الصحة والسلامة المهنية</w:t>
      </w:r>
    </w:p>
    <w:p>
      <w:pPr>
        <w:pStyle w:val="ListeParagraf"/>
        <w:numPr>
          <w:ilvl w:val="0"/>
          <w:numId w:val="1"/>
        </w:numPr>
        <w:bidi/>
        <w:spacing w:after="60"/>
        <w:jc w:val="both"/>
      </w:pPr>
      <w:r>
        <w:rPr>
          <w:rFonts w:ascii="Calibri" w:hAnsi="Calibri" w:cs="Arial"/>
          <w:rtl/>
          <w:sz w:val="24"/>
          <w:szCs w:val="24"/>
        </w:rPr>
        <w:t xml:space="preserve">EMS.İS.PRO.18.03. إجراء إدارة معدات الحماية الشخصية (PPE)</w:t>
      </w:r>
    </w:p>
    <w:p>
      <w:pPr>
        <w:pStyle w:val="ListeParagraf"/>
        <w:numPr>
          <w:ilvl w:val="0"/>
          <w:numId w:val="1"/>
        </w:numPr>
        <w:bidi/>
        <w:spacing w:after="60"/>
        <w:jc w:val="both"/>
      </w:pPr>
      <w:r>
        <w:rPr>
          <w:rFonts w:ascii="Calibri" w:hAnsi="Calibri" w:cs="Arial"/>
          <w:rtl/>
          <w:sz w:val="24"/>
          <w:szCs w:val="24"/>
        </w:rPr>
        <w:t xml:space="preserve">EMS.İS.PRO.18.04. إجراء تصاريح العمل (الأعمال الساخنة، العمل على ارتفاع، الأماكن المحصورة)</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EMS OHS SP10 إجراء إدارة التغيير</w:t>
      </w:r>
    </w:p>
    <w:p>
      <w:pPr>
        <w:pStyle w:val="ListeParagraf"/>
        <w:numPr>
          <w:ilvl w:val="0"/>
          <w:numId w:val="1"/>
        </w:numPr>
        <w:bidi/>
        <w:spacing w:after="60"/>
        <w:jc w:val="both"/>
      </w:pPr>
      <w:r>
        <w:rPr>
          <w:rFonts w:ascii="Calibri" w:hAnsi="Calibri" w:cs="Arial"/>
          <w:rtl/>
          <w:sz w:val="24"/>
          <w:szCs w:val="24"/>
        </w:rPr>
        <w:t xml:space="preserve">EMS OHS SP15 إجراء التحقيق في الحوادث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تُرفع حالة إجراءات المخاطر شهريًا إلى لجنة الصحة والسلامة المهنية وسنويًا إلى اجتماع مراجعة الإدارة. ويراجع مدير الصحة والسلامة المهنية هذا الإجراء سنويًا ويعدله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HAZARD IDENTIFICATION AND RISK ASSESSMENT PROCEDURE</w:t>
          </w:r>
        </w:p>
        <w:p>
          <w:pPr>
            <w:pStyle w:val="GvdeMetni2"/>
            <w:bidi/>
            <w:spacing w:line="276" w:lineRule="auto"/>
            <w:jc w:val="center"/>
          </w:pPr>
          <w:r>
            <w:rPr>
              <w:rFonts w:asciiTheme="minorHAnsi" w:hAnsiTheme="minorHAnsi" w:cs="Arial"/>
              <w:b/>
              <w:bCs/>
              <w:color w:val="000000" w:themeColor="text1"/>
              <w:sz w:val="22"/>
              <w:szCs w:val="22"/>
              <w:rtl/>
            </w:rPr>
            <w:t>إجراء تحديد المخاطر وتقييمها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EMS.İS.PRO.18.01. HAZARD IDENTIFICATION AND RISK ASSESSMENT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