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the safe daily check, operation and parking of forklifts and pallet trucks at Eroglu Knitting (EMS), in order to prevent collisions, overturning, falling loads and injuries to pedestrians.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diesel, LPG and electric forklifts, reach trucks and powered pallet trucks used in the warehouses, production halls, loading docks and yard of EMS, including those of 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Assigns only trained and authorised operators and keeps the operator authorisation list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Forklift Operator:</w:t>
      </w:r>
      <w:r>
        <w:rPr>
          <w:rFonts w:ascii="Calibri" w:hAnsi="Calibri" w:cs="Arial"/>
          <w:sz w:val="24"/>
          <w:szCs w:val="24"/>
        </w:rPr>
        <w:t xml:space="preserve"> Performs the pre-use check, operates the forklift according to this instruction and reports every defect or incident.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Carry out periodic maintenance, repair defects and charge or refuel equipment safely.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Monitors traffic routes, pedestrian walkways and the application of this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Wear safety shoes and a high-visibility vest; fasten the seat belt before moving.</w:t>
      </w:r>
    </w:p>
    <w:p>
      <w:pPr>
        <w:pStyle w:val="ListeParagraf"/>
        <w:spacing w:after="80"/>
        <w:ind w:left="709" w:right="0"/>
        <w:jc w:val="both"/>
      </w:pPr>
      <w:r>
        <w:rPr>
          <w:rFonts w:ascii="Calibri" w:hAnsi="Calibri" w:cs="Arial"/>
          <w:sz w:val="24"/>
          <w:szCs w:val="24"/>
        </w:rPr>
        <w:t xml:space="preserve">1.2. Complete the daily pre-use checklist: brakes, steering, horn, lights, reversing alarm, tyres, forks, chains, mast, hydraulic leaks and battery or fuel level.</w:t>
      </w:r>
    </w:p>
    <w:p>
      <w:pPr>
        <w:pStyle w:val="ListeParagraf"/>
        <w:spacing w:after="80"/>
        <w:ind w:left="709" w:right="0"/>
        <w:jc w:val="both"/>
      </w:pPr>
      <w:r>
        <w:rPr>
          <w:rFonts w:ascii="Calibri" w:hAnsi="Calibri" w:cs="Arial"/>
          <w:sz w:val="24"/>
          <w:szCs w:val="24"/>
        </w:rPr>
        <w:t xml:space="preserve">1.3. If any defect is found, do not use the forklift; put a "DO NOT USE" tag on it and inform the Warehouse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Check the load weight against the capacity plate; lift only stable, well-wrapped loads on sound pallets.</w:t>
      </w:r>
    </w:p>
    <w:p>
      <w:pPr>
        <w:pStyle w:val="ListeParagraf"/>
        <w:spacing w:after="80"/>
        <w:ind w:left="709" w:right="0"/>
        <w:jc w:val="both"/>
      </w:pPr>
      <w:r>
        <w:rPr>
          <w:rFonts w:ascii="Calibri" w:hAnsi="Calibri" w:cs="Arial"/>
          <w:sz w:val="24"/>
          <w:szCs w:val="24"/>
        </w:rPr>
        <w:t xml:space="preserve">2.2. Travel with the forks 10-15 cm above the floor and the mast tilted back; drive in reverse when the load blocks the view.</w:t>
      </w:r>
    </w:p>
    <w:p>
      <w:pPr>
        <w:pStyle w:val="ListeParagraf"/>
        <w:spacing w:after="80"/>
        <w:ind w:left="709" w:right="0"/>
        <w:jc w:val="both"/>
      </w:pPr>
      <w:r>
        <w:rPr>
          <w:rFonts w:ascii="Calibri" w:hAnsi="Calibri" w:cs="Arial"/>
          <w:sz w:val="24"/>
          <w:szCs w:val="24"/>
        </w:rPr>
        <w:t xml:space="preserve">2.3. Respect the speed limit and marked routes, sound the horn at corners, doors and blind spots, and give priority to pedestrians.</w:t>
      </w:r>
    </w:p>
    <w:p>
      <w:pPr>
        <w:pStyle w:val="ListeParagraf"/>
        <w:spacing w:after="80"/>
        <w:ind w:left="709" w:right="0"/>
        <w:jc w:val="both"/>
      </w:pPr>
      <w:r>
        <w:rPr>
          <w:rFonts w:ascii="Calibri" w:hAnsi="Calibri" w:cs="Arial"/>
          <w:sz w:val="24"/>
          <w:szCs w:val="24"/>
        </w:rPr>
        <w:t xml:space="preserve">2.4. On ramps, drive with the load facing uphill; never turn on a slope.</w:t>
      </w:r>
    </w:p>
    <w:p>
      <w:pPr>
        <w:pStyle w:val="ListeParagraf"/>
        <w:spacing w:after="80"/>
        <w:ind w:left="709" w:right="0"/>
        <w:jc w:val="both"/>
      </w:pPr>
      <w:r>
        <w:rPr>
          <w:rFonts w:ascii="Calibri" w:hAnsi="Calibri" w:cs="Arial"/>
          <w:sz w:val="24"/>
          <w:szCs w:val="24"/>
        </w:rPr>
        <w:t xml:space="preserve">2.5. After use, park in the marked area, lower the forks to the floor, apply the parking brake, switch off and remove the key.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operate a forklift without valid authorisation.</w:t>
      </w:r>
    </w:p>
    <w:p>
      <w:pPr>
        <w:pStyle w:val="ListeParagraf"/>
        <w:numPr>
          <w:ilvl w:val="0"/>
          <w:numId w:val="1"/>
        </w:numPr>
        <w:spacing w:after="60"/>
        <w:jc w:val="both"/>
      </w:pPr>
      <w:r>
        <w:rPr>
          <w:rFonts w:ascii="Calibri" w:hAnsi="Calibri" w:cs="Arial"/>
          <w:sz w:val="24"/>
          <w:szCs w:val="24"/>
        </w:rPr>
        <w:t xml:space="preserve">Do not carry or lift people on the forks or on pallets.</w:t>
      </w:r>
    </w:p>
    <w:p>
      <w:pPr>
        <w:pStyle w:val="ListeParagraf"/>
        <w:numPr>
          <w:ilvl w:val="0"/>
          <w:numId w:val="1"/>
        </w:numPr>
        <w:spacing w:after="60"/>
        <w:jc w:val="both"/>
      </w:pPr>
      <w:r>
        <w:rPr>
          <w:rFonts w:ascii="Calibri" w:hAnsi="Calibri" w:cs="Arial"/>
          <w:sz w:val="24"/>
          <w:szCs w:val="24"/>
        </w:rPr>
        <w:t xml:space="preserve">Do not allow anyone to stand or walk under raised forks or loads.</w:t>
      </w:r>
    </w:p>
    <w:p>
      <w:pPr>
        <w:pStyle w:val="ListeParagraf"/>
        <w:numPr>
          <w:ilvl w:val="0"/>
          <w:numId w:val="1"/>
        </w:numPr>
        <w:spacing w:after="60"/>
        <w:jc w:val="both"/>
      </w:pPr>
      <w:r>
        <w:rPr>
          <w:rFonts w:ascii="Calibri" w:hAnsi="Calibri" w:cs="Arial"/>
          <w:sz w:val="24"/>
          <w:szCs w:val="24"/>
        </w:rPr>
        <w:t xml:space="preserve">Do not use a mobile phone while driving.</w:t>
      </w:r>
    </w:p>
    <w:p>
      <w:pPr>
        <w:pStyle w:val="ListeParagraf"/>
        <w:numPr>
          <w:ilvl w:val="0"/>
          <w:numId w:val="1"/>
        </w:numPr>
        <w:spacing w:after="60"/>
        <w:jc w:val="both"/>
      </w:pPr>
      <w:r>
        <w:rPr>
          <w:rFonts w:ascii="Calibri" w:hAnsi="Calibri" w:cs="Arial"/>
          <w:sz w:val="24"/>
          <w:szCs w:val="24"/>
        </w:rPr>
        <w:t xml:space="preserve">Do not refuel or charge batteries near open flames or while smoking; charge only in the ventilated charging area.</w:t>
      </w:r>
    </w:p>
    <w:p>
      <w:pPr>
        <w:pStyle w:val="ListeParagraf"/>
        <w:numPr>
          <w:ilvl w:val="0"/>
          <w:numId w:val="1"/>
        </w:numPr>
        <w:spacing w:after="60"/>
        <w:jc w:val="both"/>
      </w:pPr>
      <w:r>
        <w:rPr>
          <w:rFonts w:ascii="Calibri" w:hAnsi="Calibri" w:cs="Arial"/>
          <w:sz w:val="24"/>
          <w:szCs w:val="24"/>
        </w:rPr>
        <w:t xml:space="preserve">Do not leave a forklift unattended with the engine running or the key in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the forklift starts to tip over, stay in the seat, hold the steering wheel firmly and lean away from the direction of fall.</w:t>
      </w:r>
    </w:p>
    <w:p>
      <w:pPr>
        <w:pStyle w:val="ListeParagraf"/>
        <w:spacing w:after="80"/>
        <w:ind w:left="709" w:right="0"/>
        <w:jc w:val="both"/>
      </w:pPr>
      <w:r>
        <w:rPr>
          <w:rFonts w:ascii="Calibri" w:hAnsi="Calibri" w:cs="Arial"/>
          <w:sz w:val="24"/>
          <w:szCs w:val="24"/>
        </w:rPr>
        <w:t xml:space="preserve">4.2. In case of collision, falling load or injury, stop the work, secure the area, call the first aider and inform the OHS Specialist.</w:t>
      </w:r>
    </w:p>
    <w:p>
      <w:pPr>
        <w:pStyle w:val="ListeParagraf"/>
        <w:spacing w:after="80"/>
        <w:ind w:left="709" w:right="0"/>
        <w:jc w:val="both"/>
      </w:pPr>
      <w:r>
        <w:rPr>
          <w:rFonts w:ascii="Calibri" w:hAnsi="Calibri" w:cs="Arial"/>
          <w:sz w:val="24"/>
          <w:szCs w:val="24"/>
        </w:rPr>
        <w:t xml:space="preserve">4.3. In case of fuel, LPG or battery acid leak, switch off the forklift, remove ignition sources and use the spill kit.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EMS.İS.PRO.18.03. Personal Protective Equipment Management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Forklift Daily Pre-use Checklists, Operator Authorisation List and Maintenance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Warehouse Manager checks the pre-use checklists weekly. The OHS Specialist monitors near misses and incidents involving forklifts monthly. This instruction is reviewed every year or after any incident.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الفحص اليومي الآمن للرافعات الشوكية وعربات المنصات وتشغيلها وركنها في شركة إيروغلو للتريكو (EMS)، وذلك لمنع الاصطدامات والانقلاب وسقوط الأحمال وإصابة المشاة.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الرافعات الشوكية العاملة بالديزل والغاز المسال والكهرباء والرافعات ذات الذراع الممتد وعربات المنصات الآلية المستخدمة في المستودعات وصالات الإنتاج ورصيف التحميل وساحة EMS، بما في ذلك تلك التابعة للمقاولين.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w:t>
      </w:r>
      <w:r>
        <w:rPr>
          <w:rFonts w:ascii="Calibri" w:hAnsi="Calibri" w:cs="Arial"/>
          <w:rtl/>
          <w:sz w:val="24"/>
          <w:szCs w:val="24"/>
        </w:rPr>
        <w:t xml:space="preserve"> يكلّف المشغلين المدربين والمفوضين فقط، ويحدّث قائمة تفويض المشغلين باستمرار.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الرافعة الشوكية:</w:t>
      </w:r>
      <w:r>
        <w:rPr>
          <w:rFonts w:ascii="Calibri" w:hAnsi="Calibri" w:cs="Arial"/>
          <w:rtl/>
          <w:sz w:val="24"/>
          <w:szCs w:val="24"/>
        </w:rPr>
        <w:t xml:space="preserve"> يجري الفحص قبل الاستخدام، ويشغل الرافعة وفقًا لهذه التعليمات، ويبلغ عن كل عيب أو حادث.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ينفذون الصيانة الدورية، ويصلحون العيوب، ويشحنون المعدات أو يزودونها بالوقود بشكل آمن.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يراقب مسارات الحركة وممرات المشاة وتطبيق هذه التعليمات.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ارتدِ حذاء السلامة والسترة عالية الوضوح، واربط حزام المقعد قبل التحرك.</w:t>
      </w:r>
    </w:p>
    <w:p>
      <w:pPr>
        <w:pStyle w:val="ListeParagraf"/>
        <w:bidi/>
        <w:spacing w:after="80"/>
        <w:ind w:left="0" w:right="709"/>
        <w:jc w:val="both"/>
      </w:pPr>
      <w:r>
        <w:rPr>
          <w:rFonts w:ascii="Calibri" w:hAnsi="Calibri" w:cs="Arial"/>
          <w:rtl/>
          <w:sz w:val="24"/>
          <w:szCs w:val="24"/>
        </w:rPr>
        <w:t xml:space="preserve">1.2. أكمل قائمة الفحص اليومي قبل الاستخدام: الفرامل، والتوجيه، والبوق، والأضواء، وإنذار الرجوع للخلف، والإطارات، والشوكات، والسلاسل، والصاري، وتسربات الزيت الهيدروليكي، ومستوى البطارية أو الوقود.</w:t>
      </w:r>
    </w:p>
    <w:p>
      <w:pPr>
        <w:pStyle w:val="ListeParagraf"/>
        <w:bidi/>
        <w:spacing w:after="80"/>
        <w:ind w:left="0" w:right="709"/>
        <w:jc w:val="both"/>
      </w:pPr>
      <w:r>
        <w:rPr>
          <w:rFonts w:ascii="Calibri" w:hAnsi="Calibri" w:cs="Arial"/>
          <w:rtl/>
          <w:sz w:val="24"/>
          <w:szCs w:val="24"/>
        </w:rPr>
        <w:t xml:space="preserve">1.3. إذا وُجد أي عيب، فلا تستخدم الرافعة؛ ضع عليها بطاقة «ممنوع الاستخدام» وأبلغ مدير المستودع.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قارن وزن الحمولة بلوحة الحمولة القصوى، وارفع فقط الأحمال المستقرة والمغلفة جيدًا على منصات سليمة.</w:t>
      </w:r>
    </w:p>
    <w:p>
      <w:pPr>
        <w:pStyle w:val="ListeParagraf"/>
        <w:bidi/>
        <w:spacing w:after="80"/>
        <w:ind w:left="0" w:right="709"/>
        <w:jc w:val="both"/>
      </w:pPr>
      <w:r>
        <w:rPr>
          <w:rFonts w:ascii="Calibri" w:hAnsi="Calibri" w:cs="Arial"/>
          <w:rtl/>
          <w:sz w:val="24"/>
          <w:szCs w:val="24"/>
        </w:rPr>
        <w:t xml:space="preserve">2.2. تحرّك والشوكات على ارتفاع 10-15 سم فوق الأرض مع إمالة الصاري للخلف، وقُد للخلف عندما تحجب الحمولة الرؤية.</w:t>
      </w:r>
    </w:p>
    <w:p>
      <w:pPr>
        <w:pStyle w:val="ListeParagraf"/>
        <w:bidi/>
        <w:spacing w:after="80"/>
        <w:ind w:left="0" w:right="709"/>
        <w:jc w:val="both"/>
      </w:pPr>
      <w:r>
        <w:rPr>
          <w:rFonts w:ascii="Calibri" w:hAnsi="Calibri" w:cs="Arial"/>
          <w:rtl/>
          <w:sz w:val="24"/>
          <w:szCs w:val="24"/>
        </w:rPr>
        <w:t xml:space="preserve">2.3. التزم بحد السرعة والمسارات المحددة، واستخدم البوق عند المنعطفات والأبواب والنقاط العمياء، وأعطِ الأولوية للمشاة.</w:t>
      </w:r>
    </w:p>
    <w:p>
      <w:pPr>
        <w:pStyle w:val="ListeParagraf"/>
        <w:bidi/>
        <w:spacing w:after="80"/>
        <w:ind w:left="0" w:right="709"/>
        <w:jc w:val="both"/>
      </w:pPr>
      <w:r>
        <w:rPr>
          <w:rFonts w:ascii="Calibri" w:hAnsi="Calibri" w:cs="Arial"/>
          <w:rtl/>
          <w:sz w:val="24"/>
          <w:szCs w:val="24"/>
        </w:rPr>
        <w:t xml:space="preserve">2.4. على المنحدرات، قُد والحمولة متجهة إلى أعلى المنحدر، ولا تستدر أبدًا على منحدر.</w:t>
      </w:r>
    </w:p>
    <w:p>
      <w:pPr>
        <w:pStyle w:val="ListeParagraf"/>
        <w:bidi/>
        <w:spacing w:after="80"/>
        <w:ind w:left="0" w:right="709"/>
        <w:jc w:val="both"/>
      </w:pPr>
      <w:r>
        <w:rPr>
          <w:rFonts w:ascii="Calibri" w:hAnsi="Calibri" w:cs="Arial"/>
          <w:rtl/>
          <w:sz w:val="24"/>
          <w:szCs w:val="24"/>
        </w:rPr>
        <w:t xml:space="preserve">2.5. بعد الاستخدام، اركن في المنطقة المحددة، وأنزل الشوكات إلى الأرض، واستخدم فرامل الركن، وأطفئ المحرك، وانزع المفتاح.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تشغّل رافعة شوكية دون تفويض ساري المفعول.</w:t>
      </w:r>
    </w:p>
    <w:p>
      <w:pPr>
        <w:pStyle w:val="ListeParagraf"/>
        <w:numPr>
          <w:ilvl w:val="0"/>
          <w:numId w:val="1"/>
        </w:numPr>
        <w:bidi/>
        <w:spacing w:after="60"/>
        <w:jc w:val="both"/>
      </w:pPr>
      <w:r>
        <w:rPr>
          <w:rFonts w:ascii="Calibri" w:hAnsi="Calibri" w:cs="Arial"/>
          <w:rtl/>
          <w:sz w:val="24"/>
          <w:szCs w:val="24"/>
        </w:rPr>
        <w:t xml:space="preserve">لا تحمل أو ترفع أشخاصًا على الشوكات أو على المنصات.</w:t>
      </w:r>
    </w:p>
    <w:p>
      <w:pPr>
        <w:pStyle w:val="ListeParagraf"/>
        <w:numPr>
          <w:ilvl w:val="0"/>
          <w:numId w:val="1"/>
        </w:numPr>
        <w:bidi/>
        <w:spacing w:after="60"/>
        <w:jc w:val="both"/>
      </w:pPr>
      <w:r>
        <w:rPr>
          <w:rFonts w:ascii="Calibri" w:hAnsi="Calibri" w:cs="Arial"/>
          <w:rtl/>
          <w:sz w:val="24"/>
          <w:szCs w:val="24"/>
        </w:rPr>
        <w:t xml:space="preserve">لا تسمح لأي شخص بالوقوف أو المرور تحت الشوكات أو الأحمال المرفوعة.</w:t>
      </w:r>
    </w:p>
    <w:p>
      <w:pPr>
        <w:pStyle w:val="ListeParagraf"/>
        <w:numPr>
          <w:ilvl w:val="0"/>
          <w:numId w:val="1"/>
        </w:numPr>
        <w:bidi/>
        <w:spacing w:after="60"/>
        <w:jc w:val="both"/>
      </w:pPr>
      <w:r>
        <w:rPr>
          <w:rFonts w:ascii="Calibri" w:hAnsi="Calibri" w:cs="Arial"/>
          <w:rtl/>
          <w:sz w:val="24"/>
          <w:szCs w:val="24"/>
        </w:rPr>
        <w:t xml:space="preserve">لا تستخدم الهاتف المحمول أثناء القيادة.</w:t>
      </w:r>
    </w:p>
    <w:p>
      <w:pPr>
        <w:pStyle w:val="ListeParagraf"/>
        <w:numPr>
          <w:ilvl w:val="0"/>
          <w:numId w:val="1"/>
        </w:numPr>
        <w:bidi/>
        <w:spacing w:after="60"/>
        <w:jc w:val="both"/>
      </w:pPr>
      <w:r>
        <w:rPr>
          <w:rFonts w:ascii="Calibri" w:hAnsi="Calibri" w:cs="Arial"/>
          <w:rtl/>
          <w:sz w:val="24"/>
          <w:szCs w:val="24"/>
        </w:rPr>
        <w:t xml:space="preserve">لا تزوّد بالوقود ولا تشحن البطاريات بالقرب من اللهب المكشوف أو أثناء التدخين؛ واشحن فقط في منطقة الشحن جيدة التهوية.</w:t>
      </w:r>
    </w:p>
    <w:p>
      <w:pPr>
        <w:pStyle w:val="ListeParagraf"/>
        <w:numPr>
          <w:ilvl w:val="0"/>
          <w:numId w:val="1"/>
        </w:numPr>
        <w:bidi/>
        <w:spacing w:after="60"/>
        <w:jc w:val="both"/>
      </w:pPr>
      <w:r>
        <w:rPr>
          <w:rFonts w:ascii="Calibri" w:hAnsi="Calibri" w:cs="Arial"/>
          <w:rtl/>
          <w:sz w:val="24"/>
          <w:szCs w:val="24"/>
        </w:rPr>
        <w:t xml:space="preserve">لا تترك الرافعة دون مراقبة والمحرك يعمل أو المفتاح في مكانه.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المشكلة / الطوارئ</w:t>
      </w:r>
    </w:p>
    <w:p>
      <w:pPr>
        <w:pStyle w:val="ListeParagraf"/>
        <w:bidi/>
        <w:spacing w:after="80"/>
        <w:ind w:left="0" w:right="709"/>
        <w:jc w:val="both"/>
      </w:pPr>
      <w:r>
        <w:rPr>
          <w:rFonts w:ascii="Calibri" w:hAnsi="Calibri" w:cs="Arial"/>
          <w:rtl/>
          <w:sz w:val="24"/>
          <w:szCs w:val="24"/>
        </w:rPr>
        <w:t xml:space="preserve">4.1. إذا بدأت الرافعة بالانقلاب، فابقَ في المقعد، وأمسك عجلة القيادة بقوة، ومِل بجسمك بعيدًا عن اتجاه السقوط.</w:t>
      </w:r>
    </w:p>
    <w:p>
      <w:pPr>
        <w:pStyle w:val="ListeParagraf"/>
        <w:bidi/>
        <w:spacing w:after="80"/>
        <w:ind w:left="0" w:right="709"/>
        <w:jc w:val="both"/>
      </w:pPr>
      <w:r>
        <w:rPr>
          <w:rFonts w:ascii="Calibri" w:hAnsi="Calibri" w:cs="Arial"/>
          <w:rtl/>
          <w:sz w:val="24"/>
          <w:szCs w:val="24"/>
        </w:rPr>
        <w:t xml:space="preserve">4.2. في حالة الاصطدام أو سقوط الحمولة أو الإصابة، أوقف العمل، وأمّن المنطقة، واستدعِ المسعف، وأبلغ أخصائي السلامة والصحة المهنية.</w:t>
      </w:r>
    </w:p>
    <w:p>
      <w:pPr>
        <w:pStyle w:val="ListeParagraf"/>
        <w:bidi/>
        <w:spacing w:after="80"/>
        <w:ind w:left="0" w:right="709"/>
        <w:jc w:val="both"/>
      </w:pPr>
      <w:r>
        <w:rPr>
          <w:rFonts w:ascii="Calibri" w:hAnsi="Calibri" w:cs="Arial"/>
          <w:rtl/>
          <w:sz w:val="24"/>
          <w:szCs w:val="24"/>
        </w:rPr>
        <w:t xml:space="preserve">4.3. في حالة تسرب الوقود أو الغاز المسال أو حمض البطارية، أطفئ الرافعة، وأبعد مصادر الاشتعال، واستخدم مجموعة احتواء الانسكاب.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الحماية الشخصية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قوائم الفحص اليومي للرافعات الشوكية قبل الاستخدام، وقائمة تفويض المشغلين، وسجلات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المستودع قوائم الفحص قبل الاستخدام أسبوعيًا، ويتابع أخصائي السلامة والصحة المهنية شهريًا الحوادث الوشيكة والحوادث المتعلقة بالرافعات الشوكية. وتُراجع هذه التعليمات سنويًا أو بعد أي حادث.</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FORKLIFT SAFE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التشغيل الآمن للرافعات الشوكية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EMS.İS.TL.18.01.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EMS.İS.TL.18.01. FORKLIFT SAFE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