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greige fabric batches are prepared, identified and loaded into dyeing machines at Eroglu Knitting (EMS), so that the correct fabric is dyed with the correct quantity and liquor ratio, uneven dyeing, creases and fabric damage are prevented and full traceability is kept.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batch preparation staff, dyeing machine operators and shift supervisors, and covers greige fabric issued from the warehouse to the dyehouse and loaded into jet, overflow and other dyeing machines.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Shift Supervisor:</w:t>
      </w:r>
      <w:r>
        <w:rPr>
          <w:rFonts w:ascii="Calibri" w:hAnsi="Calibri" w:cs="Arial"/>
          <w:sz w:val="24"/>
          <w:szCs w:val="24"/>
        </w:rPr>
        <w:t xml:space="preserve"> Assigns batches to machines according to the dyeing plan and checks batch preparation and loading.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Batch Preparation Staff:</w:t>
      </w:r>
      <w:r>
        <w:rPr>
          <w:rFonts w:ascii="Calibri" w:hAnsi="Calibri" w:cs="Arial"/>
          <w:sz w:val="24"/>
          <w:szCs w:val="24"/>
        </w:rPr>
        <w:t xml:space="preserve"> Prepare the batch according to the batch card, weigh and identify the fabric and stitch the rope ends.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Dyeing Machine Operator:</w:t>
      </w:r>
      <w:r>
        <w:rPr>
          <w:rFonts w:ascii="Calibri" w:hAnsi="Calibri" w:cs="Arial"/>
          <w:sz w:val="24"/>
          <w:szCs w:val="24"/>
        </w:rPr>
        <w:t xml:space="preserve"> Loads the fabric into the machine correctly and confirms the batch data before starting the program.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Take the batch card from the dyeing plan and check order number, colour, fabric type, composition, lot numbers and planned batch weight.</w:t>
      </w:r>
    </w:p>
    <w:p>
      <w:pPr>
        <w:pStyle w:val="ListeParagraf"/>
        <w:spacing w:after="80"/>
        <w:ind w:left="709" w:right="0"/>
        <w:jc w:val="both"/>
      </w:pPr>
      <w:r>
        <w:rPr>
          <w:rFonts w:ascii="Calibri" w:hAnsi="Calibri" w:cs="Arial"/>
          <w:sz w:val="24"/>
          <w:szCs w:val="24"/>
        </w:rPr>
        <w:t xml:space="preserve">1.2. Check that the fabric issued from the warehouse has passed greige inspection and matches the batch card; do not mix different yarn lots, knitting machines' lots or compositions in one batch unless approved by the Dyehouse Manager.</w:t>
      </w:r>
    </w:p>
    <w:p>
      <w:pPr>
        <w:pStyle w:val="ListeParagraf"/>
        <w:spacing w:after="80"/>
        <w:ind w:left="709" w:right="0"/>
        <w:jc w:val="both"/>
      </w:pPr>
      <w:r>
        <w:rPr>
          <w:rFonts w:ascii="Calibri" w:hAnsi="Calibri" w:cs="Arial"/>
          <w:sz w:val="24"/>
          <w:szCs w:val="24"/>
        </w:rPr>
        <w:t xml:space="preserve">1.3. For GRS/RCS or OCS orders, check that the fabric carries the certified material identification and keep it separate from conventional fabric.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BATCH PREPARATION</w:t>
      </w:r>
    </w:p>
    <w:p>
      <w:pPr>
        <w:pStyle w:val="ListeParagraf"/>
        <w:spacing w:after="80"/>
        <w:ind w:left="709" w:right="0"/>
        <w:jc w:val="both"/>
      </w:pPr>
      <w:r>
        <w:rPr>
          <w:rFonts w:ascii="Calibri" w:hAnsi="Calibri" w:cs="Arial"/>
          <w:sz w:val="24"/>
          <w:szCs w:val="24"/>
        </w:rPr>
        <w:t xml:space="preserve">2.1. Weigh each roll, record the weights on the batch card and make sure that the total weight is within the machine capacity and the planned weight tolerance.</w:t>
      </w:r>
    </w:p>
    <w:p>
      <w:pPr>
        <w:pStyle w:val="ListeParagraf"/>
        <w:spacing w:after="80"/>
        <w:ind w:left="709" w:right="0"/>
        <w:jc w:val="both"/>
      </w:pPr>
      <w:r>
        <w:rPr>
          <w:rFonts w:ascii="Calibri" w:hAnsi="Calibri" w:cs="Arial"/>
          <w:sz w:val="24"/>
          <w:szCs w:val="24"/>
        </w:rPr>
        <w:t xml:space="preserve">2.2. Divide the batch equally between the machine tubes (chambers) so that each rope has the same length and weight.</w:t>
      </w:r>
    </w:p>
    <w:p>
      <w:pPr>
        <w:pStyle w:val="ListeParagraf"/>
        <w:spacing w:after="80"/>
        <w:ind w:left="709" w:right="0"/>
        <w:jc w:val="both"/>
      </w:pPr>
      <w:r>
        <w:rPr>
          <w:rFonts w:ascii="Calibri" w:hAnsi="Calibri" w:cs="Arial"/>
          <w:sz w:val="24"/>
          <w:szCs w:val="24"/>
        </w:rPr>
        <w:t xml:space="preserve">2.3. Open tubular fabric where required, check for holes, oil stains and knots, and turn the fabric face-in if specified in the recipe.</w:t>
      </w:r>
    </w:p>
    <w:p>
      <w:pPr>
        <w:pStyle w:val="ListeParagraf"/>
        <w:spacing w:after="80"/>
        <w:ind w:left="709" w:right="0"/>
        <w:jc w:val="both"/>
      </w:pPr>
      <w:r>
        <w:rPr>
          <w:rFonts w:ascii="Calibri" w:hAnsi="Calibri" w:cs="Arial"/>
          <w:sz w:val="24"/>
          <w:szCs w:val="24"/>
        </w:rPr>
        <w:t xml:space="preserve">2.4. Attach a durable batch label (batch number, order, colour) to the fabric end and sew the rope ends together with a strong, colour-fast thread to form an endless rope.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LOADING</w:t>
      </w:r>
    </w:p>
    <w:p>
      <w:pPr>
        <w:pStyle w:val="ListeParagraf"/>
        <w:spacing w:after="80"/>
        <w:ind w:left="709" w:right="0"/>
        <w:jc w:val="both"/>
      </w:pPr>
      <w:r>
        <w:rPr>
          <w:rFonts w:ascii="Calibri" w:hAnsi="Calibri" w:cs="Arial"/>
          <w:sz w:val="24"/>
          <w:szCs w:val="24"/>
        </w:rPr>
        <w:t xml:space="preserve">3.1. Check that the machine is clean, drained and free of fabric pieces or residue from the previous batch, especially after dark shades.</w:t>
      </w:r>
    </w:p>
    <w:p>
      <w:pPr>
        <w:pStyle w:val="ListeParagraf"/>
        <w:spacing w:after="80"/>
        <w:ind w:left="709" w:right="0"/>
        <w:jc w:val="both"/>
      </w:pPr>
      <w:r>
        <w:rPr>
          <w:rFonts w:ascii="Calibri" w:hAnsi="Calibri" w:cs="Arial"/>
          <w:sz w:val="24"/>
          <w:szCs w:val="24"/>
        </w:rPr>
        <w:t xml:space="preserve">3.2. Fill the machine to the loading level, run the reel at loading speed and feed the fabric evenly into each tube without twisting.</w:t>
      </w:r>
    </w:p>
    <w:p>
      <w:pPr>
        <w:pStyle w:val="ListeParagraf"/>
        <w:spacing w:after="80"/>
        <w:ind w:left="709" w:right="0"/>
        <w:jc w:val="both"/>
      </w:pPr>
      <w:r>
        <w:rPr>
          <w:rFonts w:ascii="Calibri" w:hAnsi="Calibri" w:cs="Arial"/>
          <w:sz w:val="24"/>
          <w:szCs w:val="24"/>
        </w:rPr>
        <w:t xml:space="preserve">3.3. Sew the two ends of each rope together, check that the rope runs freely and at the same speed in all tubes, and close the machine door safely.</w:t>
      </w:r>
    </w:p>
    <w:p>
      <w:pPr>
        <w:pStyle w:val="ListeParagraf"/>
        <w:spacing w:after="80"/>
        <w:ind w:left="709" w:right="0"/>
        <w:jc w:val="both"/>
      </w:pPr>
      <w:r>
        <w:rPr>
          <w:rFonts w:ascii="Calibri" w:hAnsi="Calibri" w:cs="Arial"/>
          <w:sz w:val="24"/>
          <w:szCs w:val="24"/>
        </w:rPr>
        <w:t xml:space="preserve">3.4. Enter the batch number, weight and liquor ratio into the machine controller and check the program number against the recipe before starting.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SAFETY RULES / PROHIBITIONS</w:t>
      </w:r>
    </w:p>
    <w:p>
      <w:pPr>
        <w:pStyle w:val="ListeParagraf"/>
        <w:numPr>
          <w:ilvl w:val="0"/>
          <w:numId w:val="1"/>
        </w:numPr>
        <w:spacing w:after="60"/>
        <w:jc w:val="both"/>
      </w:pPr>
      <w:r>
        <w:rPr>
          <w:rFonts w:ascii="Calibri" w:hAnsi="Calibri" w:cs="Arial"/>
          <w:sz w:val="24"/>
          <w:szCs w:val="24"/>
        </w:rPr>
        <w:t xml:space="preserve">Do not exceed the maximum load of the machine and do not lift heavy rolls alone; use trolleys or lifting aids.</w:t>
      </w:r>
    </w:p>
    <w:p>
      <w:pPr>
        <w:pStyle w:val="ListeParagraf"/>
        <w:numPr>
          <w:ilvl w:val="0"/>
          <w:numId w:val="1"/>
        </w:numPr>
        <w:spacing w:after="60"/>
        <w:jc w:val="both"/>
      </w:pPr>
      <w:r>
        <w:rPr>
          <w:rFonts w:ascii="Calibri" w:hAnsi="Calibri" w:cs="Arial"/>
          <w:sz w:val="24"/>
          <w:szCs w:val="24"/>
        </w:rPr>
        <w:t xml:space="preserve">Do not put hands near the reel or the nozzle while the machine is running, and do not open the machine door under pressure or above the safe temperature.</w:t>
      </w:r>
    </w:p>
    <w:p>
      <w:pPr>
        <w:pStyle w:val="ListeParagraf"/>
        <w:numPr>
          <w:ilvl w:val="0"/>
          <w:numId w:val="1"/>
        </w:numPr>
        <w:spacing w:after="60"/>
        <w:jc w:val="both"/>
      </w:pPr>
      <w:r>
        <w:rPr>
          <w:rFonts w:ascii="Calibri" w:hAnsi="Calibri" w:cs="Arial"/>
          <w:sz w:val="24"/>
          <w:szCs w:val="24"/>
        </w:rPr>
        <w:t xml:space="preserve">Do not leave fabric on the floor; keep batches on clean pallets or trolleys with their labels.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EMS.BY.TL.06.01. Dyeing Machine Operation Instruction</w:t>
      </w:r>
    </w:p>
    <w:p>
      <w:pPr>
        <w:pStyle w:val="ListeParagraf"/>
        <w:numPr>
          <w:ilvl w:val="0"/>
          <w:numId w:val="1"/>
        </w:numPr>
        <w:spacing w:after="60"/>
        <w:jc w:val="both"/>
      </w:pPr>
      <w:r>
        <w:rPr>
          <w:rFonts w:ascii="Calibri" w:hAnsi="Calibri" w:cs="Arial"/>
          <w:sz w:val="24"/>
          <w:szCs w:val="24"/>
        </w:rPr>
        <w:t xml:space="preserve">EMS.ÜR.TL.05.08. Greige Fabric Inspection Instruction</w:t>
      </w:r>
    </w:p>
    <w:p>
      <w:pPr>
        <w:pStyle w:val="ListeParagraf"/>
        <w:numPr>
          <w:ilvl w:val="0"/>
          <w:numId w:val="1"/>
        </w:numPr>
        <w:spacing w:after="60"/>
        <w:jc w:val="both"/>
      </w:pPr>
      <w:r>
        <w:rPr>
          <w:rFonts w:ascii="Calibri" w:hAnsi="Calibri" w:cs="Arial"/>
          <w:sz w:val="24"/>
          <w:szCs w:val="24"/>
        </w:rPr>
        <w:t xml:space="preserve">EMS.GR.TL.14.01. Recycled Material Identification and Segregation Instruction</w:t>
      </w:r>
    </w:p>
    <w:p>
      <w:pPr>
        <w:pStyle w:val="ListeParagraf"/>
        <w:numPr>
          <w:ilvl w:val="0"/>
          <w:numId w:val="1"/>
        </w:numPr>
        <w:spacing w:after="60"/>
        <w:jc w:val="both"/>
      </w:pPr>
      <w:r>
        <w:rPr>
          <w:rFonts w:ascii="Calibri" w:hAnsi="Calibri" w:cs="Arial"/>
          <w:sz w:val="24"/>
          <w:szCs w:val="24"/>
        </w:rPr>
        <w:t xml:space="preserve">Dyeing Plan, Batch Cards and Machine Loading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Dyehouse Shift Supervisor checks batch cards every shift. The Dyehouse Manager monitors loading-related defects (creases, unlevelness, tangling, mixed lots) and the deviation between planned and actual batch weights every month. This instruction is reviewed every year.</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تحضير دفعات القماش الخام وتعريفها وتحميلها في آلات الصباغة في شركة إيروغلو للتريكو (EMS)، بحيث يُصبغ القماش الصحيح بالكمية ونسبة الحمام الصحيحتين، وتُمنع الصباغة غير المنتظمة والتجاعيد وتلف القماش، مع الحفاظ على إمكانية التتبع الكاملة.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موظفي تحضير الدفعات ومشغلي آلات الصباغة ومشرفي الورديات، وتشمل القماش الخام المصروف من المخزن إلى المصبغة والمحمّل في آلات الصباغة النفاثة (Jet) والفيضية (Overflow) وغيرها.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وردية المصبغة:</w:t>
      </w:r>
      <w:r>
        <w:rPr>
          <w:rFonts w:ascii="Calibri" w:hAnsi="Calibri" w:cs="Arial"/>
          <w:rtl/>
          <w:sz w:val="24"/>
          <w:szCs w:val="24"/>
        </w:rPr>
        <w:t xml:space="preserve"> يخصص الدفعات للآلات وفقًا لخطة الصباغة، ويتحقق من تحضير الدفعات وتحميلها.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تحضير الدفعات:</w:t>
      </w:r>
      <w:r>
        <w:rPr>
          <w:rFonts w:ascii="Calibri" w:hAnsi="Calibri" w:cs="Arial"/>
          <w:rtl/>
          <w:sz w:val="24"/>
          <w:szCs w:val="24"/>
        </w:rPr>
        <w:t xml:space="preserve"> يحضّرون الدفعة وفقًا لبطاقة الدفعة، ويزنون القماش ويعرّفونه، ويخيطون أطراف الحبل.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آلة الصباغة:</w:t>
      </w:r>
      <w:r>
        <w:rPr>
          <w:rFonts w:ascii="Calibri" w:hAnsi="Calibri" w:cs="Arial"/>
          <w:rtl/>
          <w:sz w:val="24"/>
          <w:szCs w:val="24"/>
        </w:rPr>
        <w:t xml:space="preserve"> يحمّل القماش في الآلة بشكل صحيح، ويؤكد بيانات الدفعة قبل بدء البرنامج.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خذ بطاقة الدفعة من خطة الصباغة، وتحقق من رقم الطلبية واللون ونوع القماش والتركيب وأرقام اللوطات ووزن الدفعة المخطط.</w:t>
      </w:r>
    </w:p>
    <w:p>
      <w:pPr>
        <w:pStyle w:val="ListeParagraf"/>
        <w:bidi/>
        <w:spacing w:after="80"/>
        <w:ind w:left="0" w:right="709"/>
        <w:jc w:val="both"/>
      </w:pPr>
      <w:r>
        <w:rPr>
          <w:rFonts w:ascii="Calibri" w:hAnsi="Calibri" w:cs="Arial"/>
          <w:rtl/>
          <w:sz w:val="24"/>
          <w:szCs w:val="24"/>
        </w:rPr>
        <w:t xml:space="preserve">1.2. تحقق من أن القماش المصروف من المخزن قد اجتاز فحص القماش الخام ويطابق بطاقة الدفعة؛ ولا تخلط لوطات غزل أو لوطات آلات تريكو أو تراكيب مختلفة في دفعة واحدة إلا بموافقة مدير المصبغة.</w:t>
      </w:r>
    </w:p>
    <w:p>
      <w:pPr>
        <w:pStyle w:val="ListeParagraf"/>
        <w:bidi/>
        <w:spacing w:after="80"/>
        <w:ind w:left="0" w:right="709"/>
        <w:jc w:val="both"/>
      </w:pPr>
      <w:r>
        <w:rPr>
          <w:rFonts w:ascii="Calibri" w:hAnsi="Calibri" w:cs="Arial"/>
          <w:rtl/>
          <w:sz w:val="24"/>
          <w:szCs w:val="24"/>
        </w:rPr>
        <w:t xml:space="preserve">1.3. بالنسبة لطلبيات GRS/RCS أو OCS، تحقق من أن القماش يحمل تعريف المادة المعتمدة، وأبقه منفصلًا عن القماش التقليدي.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تحضير الدفعة</w:t>
      </w:r>
    </w:p>
    <w:p>
      <w:pPr>
        <w:pStyle w:val="ListeParagraf"/>
        <w:bidi/>
        <w:spacing w:after="80"/>
        <w:ind w:left="0" w:right="709"/>
        <w:jc w:val="both"/>
      </w:pPr>
      <w:r>
        <w:rPr>
          <w:rFonts w:ascii="Calibri" w:hAnsi="Calibri" w:cs="Arial"/>
          <w:rtl/>
          <w:sz w:val="24"/>
          <w:szCs w:val="24"/>
        </w:rPr>
        <w:t xml:space="preserve">2.1. زِن كل لفة، وسجّل الأوزان في بطاقة الدفعة، وتأكد من أن الوزن الإجمالي ضمن طاقة الآلة والتفاوت المسموح به للوزن المخطط.</w:t>
      </w:r>
    </w:p>
    <w:p>
      <w:pPr>
        <w:pStyle w:val="ListeParagraf"/>
        <w:bidi/>
        <w:spacing w:after="80"/>
        <w:ind w:left="0" w:right="709"/>
        <w:jc w:val="both"/>
      </w:pPr>
      <w:r>
        <w:rPr>
          <w:rFonts w:ascii="Calibri" w:hAnsi="Calibri" w:cs="Arial"/>
          <w:rtl/>
          <w:sz w:val="24"/>
          <w:szCs w:val="24"/>
        </w:rPr>
        <w:t xml:space="preserve">2.2. قسّم الدفعة بالتساوي بين أنابيب (حجرات) الآلة بحيث يكون لكل حبل الطول والوزن نفسهما.</w:t>
      </w:r>
    </w:p>
    <w:p>
      <w:pPr>
        <w:pStyle w:val="ListeParagraf"/>
        <w:bidi/>
        <w:spacing w:after="80"/>
        <w:ind w:left="0" w:right="709"/>
        <w:jc w:val="both"/>
      </w:pPr>
      <w:r>
        <w:rPr>
          <w:rFonts w:ascii="Calibri" w:hAnsi="Calibri" w:cs="Arial"/>
          <w:rtl/>
          <w:sz w:val="24"/>
          <w:szCs w:val="24"/>
        </w:rPr>
        <w:t xml:space="preserve">2.3. افتح القماش الأنبوبي عند الحاجة، وافحص وجود الثقوب وبقع الزيت والعقد، واقلب القماش بحيث يكون الوجه للداخل إذا كان ذلك محددًا في الوصفة.</w:t>
      </w:r>
    </w:p>
    <w:p>
      <w:pPr>
        <w:pStyle w:val="ListeParagraf"/>
        <w:bidi/>
        <w:spacing w:after="80"/>
        <w:ind w:left="0" w:right="709"/>
        <w:jc w:val="both"/>
      </w:pPr>
      <w:r>
        <w:rPr>
          <w:rFonts w:ascii="Calibri" w:hAnsi="Calibri" w:cs="Arial"/>
          <w:rtl/>
          <w:sz w:val="24"/>
          <w:szCs w:val="24"/>
        </w:rPr>
        <w:t xml:space="preserve">2.4. ثبّت بطاقة دفعة متينة (رقم الدفعة، الطلبية، اللون) على طرف القماش، وخِط أطراف الحبل معًا بخيط قوي ثابت اللون لتكوين حبل مغلق.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التحميل</w:t>
      </w:r>
    </w:p>
    <w:p>
      <w:pPr>
        <w:pStyle w:val="ListeParagraf"/>
        <w:bidi/>
        <w:spacing w:after="80"/>
        <w:ind w:left="0" w:right="709"/>
        <w:jc w:val="both"/>
      </w:pPr>
      <w:r>
        <w:rPr>
          <w:rFonts w:ascii="Calibri" w:hAnsi="Calibri" w:cs="Arial"/>
          <w:rtl/>
          <w:sz w:val="24"/>
          <w:szCs w:val="24"/>
        </w:rPr>
        <w:t xml:space="preserve">3.1. تحقق من أن الآلة نظيفة ومُفرغة وخالية من قطع القماش أو بقايا الدفعة السابقة، خاصة بعد الألوان الداكنة.</w:t>
      </w:r>
    </w:p>
    <w:p>
      <w:pPr>
        <w:pStyle w:val="ListeParagraf"/>
        <w:bidi/>
        <w:spacing w:after="80"/>
        <w:ind w:left="0" w:right="709"/>
        <w:jc w:val="both"/>
      </w:pPr>
      <w:r>
        <w:rPr>
          <w:rFonts w:ascii="Calibri" w:hAnsi="Calibri" w:cs="Arial"/>
          <w:rtl/>
          <w:sz w:val="24"/>
          <w:szCs w:val="24"/>
        </w:rPr>
        <w:t xml:space="preserve">3.2. املأ الآلة حتى مستوى التحميل، وشغّل البكرة بسرعة التحميل، وأدخل القماش بالتساوي في كل أنبوب دون التواء.</w:t>
      </w:r>
    </w:p>
    <w:p>
      <w:pPr>
        <w:pStyle w:val="ListeParagraf"/>
        <w:bidi/>
        <w:spacing w:after="80"/>
        <w:ind w:left="0" w:right="709"/>
        <w:jc w:val="both"/>
      </w:pPr>
      <w:r>
        <w:rPr>
          <w:rFonts w:ascii="Calibri" w:hAnsi="Calibri" w:cs="Arial"/>
          <w:rtl/>
          <w:sz w:val="24"/>
          <w:szCs w:val="24"/>
        </w:rPr>
        <w:t xml:space="preserve">3.3. خِط طرفي كل حبل معًا، وتحقق من أن الحبل يجري بحرية وبالسرعة نفسها في جميع الأنابيب، وأغلق باب الآلة بأمان.</w:t>
      </w:r>
    </w:p>
    <w:p>
      <w:pPr>
        <w:pStyle w:val="ListeParagraf"/>
        <w:bidi/>
        <w:spacing w:after="80"/>
        <w:ind w:left="0" w:right="709"/>
        <w:jc w:val="both"/>
      </w:pPr>
      <w:r>
        <w:rPr>
          <w:rFonts w:ascii="Calibri" w:hAnsi="Calibri" w:cs="Arial"/>
          <w:rtl/>
          <w:sz w:val="24"/>
          <w:szCs w:val="24"/>
        </w:rPr>
        <w:t xml:space="preserve">3.4. أدخل رقم الدفعة والوزن ونسبة الحمام في وحدة التحكم بالآلة، وتحقق من رقم البرنامج مقارنة بالوصفة قبل البدء.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تتجاوز الحمولة القصوى للآلة، ولا ترفع اللفات الثقيلة بمفردك؛ واستخدم العربات أو وسائل الرفع المساعدة.</w:t>
      </w:r>
    </w:p>
    <w:p>
      <w:pPr>
        <w:pStyle w:val="ListeParagraf"/>
        <w:numPr>
          <w:ilvl w:val="0"/>
          <w:numId w:val="1"/>
        </w:numPr>
        <w:bidi/>
        <w:spacing w:after="60"/>
        <w:jc w:val="both"/>
      </w:pPr>
      <w:r>
        <w:rPr>
          <w:rFonts w:ascii="Calibri" w:hAnsi="Calibri" w:cs="Arial"/>
          <w:rtl/>
          <w:sz w:val="24"/>
          <w:szCs w:val="24"/>
        </w:rPr>
        <w:t xml:space="preserve">لا تقرّب يديك من البكرة أو الفوهة أثناء تشغيل الآلة، ولا تفتح باب الآلة وهي تحت الضغط أو فوق درجة الحرارة الآمنة.</w:t>
      </w:r>
    </w:p>
    <w:p>
      <w:pPr>
        <w:pStyle w:val="ListeParagraf"/>
        <w:numPr>
          <w:ilvl w:val="0"/>
          <w:numId w:val="1"/>
        </w:numPr>
        <w:bidi/>
        <w:spacing w:after="60"/>
        <w:jc w:val="both"/>
      </w:pPr>
      <w:r>
        <w:rPr>
          <w:rFonts w:ascii="Calibri" w:hAnsi="Calibri" w:cs="Arial"/>
          <w:rtl/>
          <w:sz w:val="24"/>
          <w:szCs w:val="24"/>
        </w:rPr>
        <w:t xml:space="preserve">لا تترك القماش على الأرض؛ واحتفظ بالدفعات على منصات نقالة أو عربات نظيفة مع بطاقاتها.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EMS.BY.TL.06.01. تعليمات تشغيل آلة الصباغة</w:t>
      </w:r>
    </w:p>
    <w:p>
      <w:pPr>
        <w:pStyle w:val="ListeParagraf"/>
        <w:numPr>
          <w:ilvl w:val="0"/>
          <w:numId w:val="1"/>
        </w:numPr>
        <w:bidi/>
        <w:spacing w:after="60"/>
        <w:jc w:val="both"/>
      </w:pPr>
      <w:r>
        <w:rPr>
          <w:rFonts w:ascii="Calibri" w:hAnsi="Calibri" w:cs="Arial"/>
          <w:rtl/>
          <w:sz w:val="24"/>
          <w:szCs w:val="24"/>
        </w:rPr>
        <w:t xml:space="preserve">EMS.ÜR.TL.05.08. تعليمات فحص القماش الخام</w:t>
      </w:r>
    </w:p>
    <w:p>
      <w:pPr>
        <w:pStyle w:val="ListeParagraf"/>
        <w:numPr>
          <w:ilvl w:val="0"/>
          <w:numId w:val="1"/>
        </w:numPr>
        <w:bidi/>
        <w:spacing w:after="60"/>
        <w:jc w:val="both"/>
      </w:pPr>
      <w:r>
        <w:rPr>
          <w:rFonts w:ascii="Calibri" w:hAnsi="Calibri" w:cs="Arial"/>
          <w:rtl/>
          <w:sz w:val="24"/>
          <w:szCs w:val="24"/>
        </w:rPr>
        <w:t xml:space="preserve">EMS.GR.TL.14.01. تعليمات تعريف المواد المعاد تدويرها وفصلها</w:t>
      </w:r>
    </w:p>
    <w:p>
      <w:pPr>
        <w:pStyle w:val="ListeParagraf"/>
        <w:numPr>
          <w:ilvl w:val="0"/>
          <w:numId w:val="1"/>
        </w:numPr>
        <w:bidi/>
        <w:spacing w:after="60"/>
        <w:jc w:val="both"/>
      </w:pPr>
      <w:r>
        <w:rPr>
          <w:rFonts w:ascii="Calibri" w:hAnsi="Calibri" w:cs="Arial"/>
          <w:rtl/>
          <w:sz w:val="24"/>
          <w:szCs w:val="24"/>
        </w:rPr>
        <w:t xml:space="preserve">خطة الصباغة، وبطاقات الدفعات، وسجلات تحميل الآلات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يتحقق مشرف وردية المصبغة من بطاقات الدفعات في كل وردية. ويتابع مدير المصبغة شهريًا العيوب المتعلقة بالتحميل (التجاعيد، عدم انتظام اللون، التشابك، اللوطات المختلطة) والانحراف بين الأوزان المخططة والفعلية للدفعات. وتُراجع هذه التعليمات سنويًا.</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BATCH PREPARATION AND FABRIC LOADING INSTRUCTION</w:t>
          </w:r>
        </w:p>
        <w:p>
          <w:pPr>
            <w:pStyle w:val="GvdeMetni2"/>
            <w:bidi/>
            <w:spacing w:line="276" w:lineRule="auto"/>
            <w:jc w:val="center"/>
          </w:pPr>
          <w:r>
            <w:rPr>
              <w:rFonts w:asciiTheme="minorHAnsi" w:hAnsiTheme="minorHAnsi" w:cs="Arial"/>
              <w:b/>
              <w:bCs/>
              <w:color w:val="000000" w:themeColor="text1"/>
              <w:sz w:val="22"/>
              <w:szCs w:val="22"/>
              <w:rtl/>
            </w:rPr>
            <w:t>تعليمات تحضير الدفعات وتحميل القماش</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EMS.BY.TL.06.04.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EMS.BY.TL.06.04. BATCH PREPARATION AND FABRIC LOADING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