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receive, store, handle and ship all materials and finished goods safely, securely and accurately, so that product quality, traceability and on-time delivery to customers are ensured and people and the environment are protected.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Yarn, fabric, trims, accessories, packaging materials, dyes, chemicals, spare parts and consumables warehouses,</w:t>
      </w:r>
    </w:p>
    <w:p>
      <w:pPr>
        <w:pStyle w:val="ListeParagraf"/>
        <w:spacing w:after="80"/>
        <w:ind w:left="709" w:right="0"/>
        <w:jc w:val="both"/>
      </w:pPr>
      <w:r>
        <w:rPr>
          <w:rFonts w:ascii="Calibri" w:hAnsi="Calibri" w:cs="Arial"/>
          <w:sz w:val="24"/>
          <w:szCs w:val="24"/>
        </w:rPr>
        <w:t xml:space="preserve">• Work-in-progress and finished goods storage areas, packing and loading areas,</w:t>
      </w:r>
    </w:p>
    <w:p>
      <w:pPr>
        <w:pStyle w:val="ListeParagraf"/>
        <w:spacing w:after="80"/>
        <w:ind w:left="709" w:right="0"/>
        <w:jc w:val="both"/>
      </w:pPr>
      <w:r>
        <w:rPr>
          <w:rFonts w:ascii="Calibri" w:hAnsi="Calibri" w:cs="Arial"/>
          <w:sz w:val="24"/>
          <w:szCs w:val="24"/>
        </w:rPr>
        <w:t xml:space="preserve">• Internal transport, forklifts, shipments to customers and subcontractors and incoming transport.</w:t>
      </w:r>
    </w:p>
    <w:p>
      <w:pPr>
        <w:pStyle w:val="ListeParagraf"/>
        <w:spacing w:after="80"/>
        <w:ind w:left="709" w:right="0"/>
        <w:jc w:val="both"/>
      </w:pPr>
      <w:r>
        <w:rPr>
          <w:rFonts w:ascii="Calibri" w:hAnsi="Calibri" w:cs="Arial"/>
          <w:sz w:val="24"/>
          <w:szCs w:val="24"/>
        </w:rPr>
        <w:t xml:space="preserve">It applies to all EMS warehouse, logistics and shipping staff, other employees working in these areas and transport companies serving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(space, equipment, staff and systems) needed for warehousing and logistics.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Logistics Manager:</w:t>
      </w:r>
      <w:r>
        <w:rPr>
          <w:rFonts w:ascii="Calibri" w:hAnsi="Calibri" w:cs="Arial"/>
          <w:sz w:val="24"/>
          <w:szCs w:val="24"/>
        </w:rPr>
        <w:t xml:space="preserve"> Implements the policy, ensures accurate stock records and safe operations and reports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 and Forklift Operators:</w:t>
      </w:r>
      <w:r>
        <w:rPr>
          <w:rFonts w:ascii="Calibri" w:hAnsi="Calibri" w:cs="Arial"/>
          <w:sz w:val="24"/>
          <w:szCs w:val="24"/>
        </w:rPr>
        <w:t xml:space="preserve"> Follow the procedures, keep the areas clean and orderly and report any damage, shortage or safety risk.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and Compliance Teams:</w:t>
      </w:r>
      <w:r>
        <w:rPr>
          <w:rFonts w:ascii="Calibri" w:hAnsi="Calibri" w:cs="Arial"/>
          <w:sz w:val="24"/>
          <w:szCs w:val="24"/>
        </w:rPr>
        <w:t xml:space="preserve"> Ensure the security of goods, loading areas and shipments in line with GSV and C-TPAT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First In, First Out; materials received first are used or shipped first.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Stock Location:</w:t>
      </w:r>
      <w:r>
        <w:rPr>
          <w:rFonts w:ascii="Calibri" w:hAnsi="Calibri" w:cs="Arial"/>
          <w:sz w:val="24"/>
          <w:szCs w:val="24"/>
        </w:rPr>
        <w:t xml:space="preserve"> The defined place (zone, rack, shelf) where a material is stored and recorded.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Area:</w:t>
      </w:r>
      <w:r>
        <w:rPr>
          <w:rFonts w:ascii="Calibri" w:hAnsi="Calibri" w:cs="Arial"/>
          <w:sz w:val="24"/>
          <w:szCs w:val="24"/>
        </w:rPr>
        <w:t xml:space="preserve"> The marked area where materials waiting for inspection or found nonconforming are kept separately.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Keep accurate, real-time stock records with full traceability from receipt to shipment, including order, lot and certified material (GRS, RCS, OCS) identity.</w:t>
      </w:r>
    </w:p>
    <w:p>
      <w:pPr>
        <w:pStyle w:val="ListeParagraf"/>
        <w:numPr>
          <w:ilvl w:val="0"/>
          <w:numId w:val="1"/>
        </w:numPr>
        <w:spacing w:after="60"/>
        <w:jc w:val="both"/>
      </w:pPr>
      <w:r>
        <w:rPr>
          <w:rFonts w:ascii="Calibri" w:hAnsi="Calibri" w:cs="Arial"/>
          <w:sz w:val="24"/>
          <w:szCs w:val="24"/>
        </w:rPr>
        <w:t xml:space="preserve">Store all materials in clean, dry, organised and identified areas, applying FIFO and protecting them from damage, contamination and moisture.</w:t>
      </w:r>
    </w:p>
    <w:p>
      <w:pPr>
        <w:pStyle w:val="ListeParagraf"/>
        <w:numPr>
          <w:ilvl w:val="0"/>
          <w:numId w:val="1"/>
        </w:numPr>
        <w:spacing w:after="60"/>
        <w:jc w:val="both"/>
      </w:pPr>
      <w:r>
        <w:rPr>
          <w:rFonts w:ascii="Calibri" w:hAnsi="Calibri" w:cs="Arial"/>
          <w:sz w:val="24"/>
          <w:szCs w:val="24"/>
        </w:rPr>
        <w:t xml:space="preserve">Store chemicals only in designated chemical stores with secondary containment, SDS and compatibility rules.</w:t>
      </w:r>
    </w:p>
    <w:p>
      <w:pPr>
        <w:pStyle w:val="ListeParagraf"/>
        <w:numPr>
          <w:ilvl w:val="0"/>
          <w:numId w:val="1"/>
        </w:numPr>
        <w:spacing w:after="60"/>
        <w:jc w:val="both"/>
      </w:pPr>
      <w:r>
        <w:rPr>
          <w:rFonts w:ascii="Calibri" w:hAnsi="Calibri" w:cs="Arial"/>
          <w:sz w:val="24"/>
          <w:szCs w:val="24"/>
        </w:rPr>
        <w:t xml:space="preserve">Ensure safe operations: trained and licensed forklift operators, safe racking and stacking, clear walkways and unobstructed emergency exits and fire equipment.</w:t>
      </w:r>
    </w:p>
    <w:p>
      <w:pPr>
        <w:pStyle w:val="ListeParagraf"/>
        <w:numPr>
          <w:ilvl w:val="0"/>
          <w:numId w:val="1"/>
        </w:numPr>
        <w:spacing w:after="60"/>
        <w:jc w:val="both"/>
      </w:pPr>
      <w:r>
        <w:rPr>
          <w:rFonts w:ascii="Calibri" w:hAnsi="Calibri" w:cs="Arial"/>
          <w:sz w:val="24"/>
          <w:szCs w:val="24"/>
        </w:rPr>
        <w:t xml:space="preserve">Protect goods and shipments against theft, tampering and the introduction of unauthorised items, in line with GSV and C-TPAT security requirements.</w:t>
      </w:r>
    </w:p>
    <w:p>
      <w:pPr>
        <w:pStyle w:val="ListeParagraf"/>
        <w:numPr>
          <w:ilvl w:val="0"/>
          <w:numId w:val="1"/>
        </w:numPr>
        <w:spacing w:after="60"/>
        <w:jc w:val="both"/>
      </w:pPr>
      <w:r>
        <w:rPr>
          <w:rFonts w:ascii="Calibri" w:hAnsi="Calibri" w:cs="Arial"/>
          <w:sz w:val="24"/>
          <w:szCs w:val="24"/>
        </w:rPr>
        <w:t xml:space="preserve">Deliver correct products, in correct quantity and packaging, on time to our customers.</w:t>
      </w:r>
    </w:p>
    <w:p>
      <w:pPr>
        <w:pStyle w:val="ListeParagraf"/>
        <w:numPr>
          <w:ilvl w:val="0"/>
          <w:numId w:val="1"/>
        </w:numPr>
        <w:spacing w:after="60"/>
        <w:jc w:val="both"/>
      </w:pPr>
      <w:r>
        <w:rPr>
          <w:rFonts w:ascii="Calibri" w:hAnsi="Calibri" w:cs="Arial"/>
          <w:sz w:val="24"/>
          <w:szCs w:val="24"/>
        </w:rPr>
        <w:t xml:space="preserve">Reduce packaging waste and transport-related emissions, and reuse or recycle packaging materials where possible.</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and the ISO 9001, ISO 14001 and ISO 45001 standards.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the warehouse and loading areas.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باستلام جميع المواد والمنتجات النهائية وتخزينها ومناولتها وشحنها بأمان ودقة، بما يضمن جودة المنتج وإمكانية التتبع والتسليم في الموعد للعملاء، ويحمي الأفراد والبيئة.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مخازن الغزل والأقمشة والإكسسوارات والملحقات ومواد التعبئة والأصباغ والكيماويات وقطع الغيار والمستهلكات،</w:t>
      </w:r>
    </w:p>
    <w:p>
      <w:pPr>
        <w:pStyle w:val="ListeParagraf"/>
        <w:bidi/>
        <w:spacing w:after="80"/>
        <w:ind w:left="0" w:right="709"/>
        <w:jc w:val="both"/>
      </w:pPr>
      <w:r>
        <w:rPr>
          <w:rFonts w:ascii="Calibri" w:hAnsi="Calibri" w:cs="Arial"/>
          <w:rtl/>
          <w:sz w:val="24"/>
          <w:szCs w:val="24"/>
        </w:rPr>
        <w:t xml:space="preserve">• مناطق تخزين المنتجات تحت التشغيل والمنتجات النهائية ومناطق التعبئة والتحميل،</w:t>
      </w:r>
    </w:p>
    <w:p>
      <w:pPr>
        <w:pStyle w:val="ListeParagraf"/>
        <w:bidi/>
        <w:spacing w:after="80"/>
        <w:ind w:left="0" w:right="709"/>
        <w:jc w:val="both"/>
      </w:pPr>
      <w:r>
        <w:rPr>
          <w:rFonts w:ascii="Calibri" w:hAnsi="Calibri" w:cs="Arial"/>
          <w:rtl/>
          <w:sz w:val="24"/>
          <w:szCs w:val="24"/>
        </w:rPr>
        <w:t xml:space="preserve">• النقل الداخلي والرافعات الشوكية والشحنات إلى العملاء والمقاولين من الباطن والنقل الوارد.</w:t>
      </w:r>
    </w:p>
    <w:p>
      <w:pPr>
        <w:pStyle w:val="ListeParagraf"/>
        <w:bidi/>
        <w:spacing w:after="80"/>
        <w:ind w:left="0" w:right="709"/>
        <w:jc w:val="both"/>
      </w:pPr>
      <w:r>
        <w:rPr>
          <w:rFonts w:ascii="Calibri" w:hAnsi="Calibri" w:cs="Arial"/>
          <w:rtl/>
          <w:sz w:val="24"/>
          <w:szCs w:val="24"/>
        </w:rPr>
        <w:t xml:space="preserve">وتنطبق على جميع موظفي المخازن والخدمات اللوجستية والشحن في EMS، والموظفين الآخرين العاملين في هذه المناطق، وشركات النقل التي تخدم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للتخزين والخدمات اللوجستية (المساحات والمعدات والأفراد والأنظمة).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المخازن والخدمات اللوجستية:</w:t>
      </w:r>
      <w:r>
        <w:rPr>
          <w:rFonts w:ascii="Calibri" w:hAnsi="Calibri" w:cs="Arial"/>
          <w:rtl/>
          <w:sz w:val="24"/>
          <w:szCs w:val="24"/>
        </w:rPr>
        <w:t xml:space="preserve"> ينفذ السياسة ويضمن دقة سجلات المخزون وسلامة العمليات ويرفع تقارير الأداء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المخازن ومشغلو الرافعات الشوكية:</w:t>
      </w:r>
      <w:r>
        <w:rPr>
          <w:rFonts w:ascii="Calibri" w:hAnsi="Calibri" w:cs="Arial"/>
          <w:rtl/>
          <w:sz w:val="24"/>
          <w:szCs w:val="24"/>
        </w:rPr>
        <w:t xml:space="preserve"> يتبعون الإجراءات ويحافظون على نظافة المناطق وترتيبها ويبلغون عن أي تلف أو نقص أو خطر على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الأمن والامتثال:</w:t>
      </w:r>
      <w:r>
        <w:rPr>
          <w:rFonts w:ascii="Calibri" w:hAnsi="Calibri" w:cs="Arial"/>
          <w:rtl/>
          <w:sz w:val="24"/>
          <w:szCs w:val="24"/>
        </w:rPr>
        <w:t xml:space="preserve"> تضمن أمن البضائع ومناطق التحميل والشحنات وفق متطلبات GSV وC-TPAT.</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الوارد أولًا يُصرف أولًا؛ أي أن المواد المستلمة أولًا تُستخدم أو تُشحن أولًا.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موقع التخزين:</w:t>
      </w:r>
      <w:r>
        <w:rPr>
          <w:rFonts w:ascii="Calibri" w:hAnsi="Calibri" w:cs="Arial"/>
          <w:rtl/>
          <w:sz w:val="24"/>
          <w:szCs w:val="24"/>
        </w:rPr>
        <w:t xml:space="preserve"> المكان المحدد (المنطقة والرف والرف الفرعي) الذي تُخزن فيه المادة وتُسجل.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الحجر:</w:t>
      </w:r>
      <w:r>
        <w:rPr>
          <w:rFonts w:ascii="Calibri" w:hAnsi="Calibri" w:cs="Arial"/>
          <w:rtl/>
          <w:sz w:val="24"/>
          <w:szCs w:val="24"/>
        </w:rPr>
        <w:t xml:space="preserve"> المنطقة المحددة بعلامات التي تُحفظ فيها بشكل منفصل المواد المنتظرة للفحص أو التي ثبت عدم مطابقتها.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الاحتفاظ بسجلات مخزون دقيقة ولحظية مع إمكانية تتبع كاملة من الاستلام حتى الشحن، بما في ذلك هوية الطلبية والدفعة والمواد المعتمدة (GRS وRCS وOCS).</w:t>
      </w:r>
    </w:p>
    <w:p>
      <w:pPr>
        <w:pStyle w:val="ListeParagraf"/>
        <w:numPr>
          <w:ilvl w:val="0"/>
          <w:numId w:val="1"/>
        </w:numPr>
        <w:bidi/>
        <w:spacing w:after="60"/>
        <w:jc w:val="both"/>
      </w:pPr>
      <w:r>
        <w:rPr>
          <w:rFonts w:ascii="Calibri" w:hAnsi="Calibri" w:cs="Arial"/>
          <w:rtl/>
          <w:sz w:val="24"/>
          <w:szCs w:val="24"/>
        </w:rPr>
        <w:t xml:space="preserve">تخزين جميع المواد في مناطق نظيفة وجافة ومنظمة ومعرّفة، مع تطبيق مبدأ FIFO وحمايتها من التلف والتلوث والرطوبة.</w:t>
      </w:r>
    </w:p>
    <w:p>
      <w:pPr>
        <w:pStyle w:val="ListeParagraf"/>
        <w:numPr>
          <w:ilvl w:val="0"/>
          <w:numId w:val="1"/>
        </w:numPr>
        <w:bidi/>
        <w:spacing w:after="60"/>
        <w:jc w:val="both"/>
      </w:pPr>
      <w:r>
        <w:rPr>
          <w:rFonts w:ascii="Calibri" w:hAnsi="Calibri" w:cs="Arial"/>
          <w:rtl/>
          <w:sz w:val="24"/>
          <w:szCs w:val="24"/>
        </w:rPr>
        <w:t xml:space="preserve">تخزين الكيماويات في مخازن الكيماويات المخصصة فقط مع الاحتواء الثانوي وصحف بيانات السلامة (SDS) وقواعد التوافق.</w:t>
      </w:r>
    </w:p>
    <w:p>
      <w:pPr>
        <w:pStyle w:val="ListeParagraf"/>
        <w:numPr>
          <w:ilvl w:val="0"/>
          <w:numId w:val="1"/>
        </w:numPr>
        <w:bidi/>
        <w:spacing w:after="60"/>
        <w:jc w:val="both"/>
      </w:pPr>
      <w:r>
        <w:rPr>
          <w:rFonts w:ascii="Calibri" w:hAnsi="Calibri" w:cs="Arial"/>
          <w:rtl/>
          <w:sz w:val="24"/>
          <w:szCs w:val="24"/>
        </w:rPr>
        <w:t xml:space="preserve">ضمان سلامة العمليات: مشغلو رافعات شوكية مدربون ومرخصون، وأرفف ورصّ آمن، وممرات واضحة، ومخارج طوارئ ومعدات حريق غير معاقة.</w:t>
      </w:r>
    </w:p>
    <w:p>
      <w:pPr>
        <w:pStyle w:val="ListeParagraf"/>
        <w:numPr>
          <w:ilvl w:val="0"/>
          <w:numId w:val="1"/>
        </w:numPr>
        <w:bidi/>
        <w:spacing w:after="60"/>
        <w:jc w:val="both"/>
      </w:pPr>
      <w:r>
        <w:rPr>
          <w:rFonts w:ascii="Calibri" w:hAnsi="Calibri" w:cs="Arial"/>
          <w:rtl/>
          <w:sz w:val="24"/>
          <w:szCs w:val="24"/>
        </w:rPr>
        <w:t xml:space="preserve">حماية البضائع والشحنات من السرقة والعبث وإدخال أي مواد غير مصرح بها، وفق متطلبات الأمن الخاصة بـ GSV وC-TPAT.</w:t>
      </w:r>
    </w:p>
    <w:p>
      <w:pPr>
        <w:pStyle w:val="ListeParagraf"/>
        <w:numPr>
          <w:ilvl w:val="0"/>
          <w:numId w:val="1"/>
        </w:numPr>
        <w:bidi/>
        <w:spacing w:after="60"/>
        <w:jc w:val="both"/>
      </w:pPr>
      <w:r>
        <w:rPr>
          <w:rFonts w:ascii="Calibri" w:hAnsi="Calibri" w:cs="Arial"/>
          <w:rtl/>
          <w:sz w:val="24"/>
          <w:szCs w:val="24"/>
        </w:rPr>
        <w:t xml:space="preserve">تسليم المنتجات الصحيحة بالكمية والتعبئة الصحيحة وفي الموعد لعملائنا.</w:t>
      </w:r>
    </w:p>
    <w:p>
      <w:pPr>
        <w:pStyle w:val="ListeParagraf"/>
        <w:numPr>
          <w:ilvl w:val="0"/>
          <w:numId w:val="1"/>
        </w:numPr>
        <w:bidi/>
        <w:spacing w:after="60"/>
        <w:jc w:val="both"/>
      </w:pPr>
      <w:r>
        <w:rPr>
          <w:rFonts w:ascii="Calibri" w:hAnsi="Calibri" w:cs="Arial"/>
          <w:rtl/>
          <w:sz w:val="24"/>
          <w:szCs w:val="24"/>
        </w:rPr>
        <w:t xml:space="preserve">تقليل نفايات التعبئة والانبعاثات المرتبطة بالنقل، وإعادة استخدام مواد التعبئة أو إعادة تدويرها قدر الإمكان.</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ومعايير ISO 9001 وISO 14001 وISO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المخازن ومناطق التحميل.</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WAREHOUSE AND LOGISTICS POLICY</w:t>
          </w:r>
        </w:p>
        <w:p>
          <w:pPr>
            <w:pStyle w:val="GvdeMetni2"/>
            <w:bidi/>
            <w:spacing w:line="276" w:lineRule="auto"/>
            <w:jc w:val="center"/>
          </w:pPr>
          <w:r>
            <w:rPr>
              <w:rFonts w:asciiTheme="minorHAnsi" w:hAnsiTheme="minorHAnsi" w:cs="Arial"/>
              <w:b/>
              <w:bCs/>
              <w:color w:val="000000" w:themeColor="text1"/>
              <w:sz w:val="22"/>
              <w:szCs w:val="22"/>
              <w:rtl/>
            </w:rPr>
            <w:t>سياسة المخازن والخدمات اللوجستية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EMS.DP.POL.08.01.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EMS.DP.POL.08.01. WAREHOUSE AND LOGISTICS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