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packed finished goods are received from the packing section, stored, protected and prepared for shipment at Eroglu Knitting (EMS), so that only approved, correctly packed cartons are shipped and their security and traceability are maintained.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packed cartons in the finished goods warehouse until they are loaded, and to all warehouse, shipping and security staff working in this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w:t>
      </w:r>
      <w:r>
        <w:rPr>
          <w:rFonts w:ascii="Calibri" w:hAnsi="Calibri" w:cs="Arial"/>
          <w:sz w:val="24"/>
          <w:szCs w:val="24"/>
        </w:rPr>
        <w:t xml:space="preserve"> Ensures that the area is secure, clean and organised and that stock records are correct.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Finished Goods Staff:</w:t>
      </w:r>
      <w:r>
        <w:rPr>
          <w:rFonts w:ascii="Calibri" w:hAnsi="Calibri" w:cs="Arial"/>
          <w:sz w:val="24"/>
          <w:szCs w:val="24"/>
        </w:rPr>
        <w:t xml:space="preserve"> Receive, check, store and prepare cartons for shipment according to this instruction.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w:t>
      </w:r>
      <w:r>
        <w:rPr>
          <w:rFonts w:ascii="Calibri" w:hAnsi="Calibri" w:cs="Arial"/>
          <w:sz w:val="24"/>
          <w:szCs w:val="24"/>
        </w:rPr>
        <w:t xml:space="preserve"> Releases lots after final AQL inspection; </w:t>
      </w:r>
      <w:r>
        <w:rPr>
          <w:rFonts w:ascii="Calibri" w:hAnsi="Calibri" w:cs="Arial"/>
          <w:b/>
          <w:bCs/>
          <w:sz w:val="24"/>
          <w:szCs w:val="24"/>
        </w:rPr>
        <w:t xml:space="preserve">Security:</w:t>
      </w:r>
      <w:r>
        <w:rPr>
          <w:rFonts w:ascii="Calibri" w:hAnsi="Calibri" w:cs="Arial"/>
          <w:sz w:val="24"/>
          <w:szCs w:val="24"/>
        </w:rPr>
        <w:t xml:space="preserve"> controls access to the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Receive cartons from packing only with a signed transfer note showing order, style, colour, size breakdown and carton numbers.</w:t>
      </w:r>
    </w:p>
    <w:p>
      <w:pPr>
        <w:pStyle w:val="ListeParagraf"/>
        <w:spacing w:after="80"/>
        <w:ind w:left="709" w:right="0"/>
        <w:jc w:val="both"/>
      </w:pPr>
      <w:r>
        <w:rPr>
          <w:rFonts w:ascii="Calibri" w:hAnsi="Calibri" w:cs="Arial"/>
          <w:sz w:val="24"/>
          <w:szCs w:val="24"/>
        </w:rPr>
        <w:t xml:space="preserve">1.2. Check that the cartons have passed metal detection, that carton marks and labels are correct and that cartons are closed, clean and undamaged.</w:t>
      </w:r>
    </w:p>
    <w:p>
      <w:pPr>
        <w:pStyle w:val="ListeParagraf"/>
        <w:spacing w:after="80"/>
        <w:ind w:left="709" w:right="0"/>
        <w:jc w:val="both"/>
      </w:pPr>
      <w:r>
        <w:rPr>
          <w:rFonts w:ascii="Calibri" w:hAnsi="Calibri" w:cs="Arial"/>
          <w:sz w:val="24"/>
          <w:szCs w:val="24"/>
        </w:rPr>
        <w:t xml:space="preserve">1.3. Place the cartons in the </w:t>
      </w:r>
      <w:r>
        <w:rPr>
          <w:rFonts w:ascii="Calibri" w:hAnsi="Calibri" w:cs="Arial"/>
          <w:b/>
          <w:bCs/>
          <w:sz w:val="24"/>
          <w:szCs w:val="24"/>
        </w:rPr>
        <w:t xml:space="preserve">Waiting for Final Inspection</w:t>
      </w:r>
      <w:r>
        <w:rPr>
          <w:rFonts w:ascii="Calibri" w:hAnsi="Calibri" w:cs="Arial"/>
          <w:sz w:val="24"/>
          <w:szCs w:val="24"/>
        </w:rPr>
        <w:t xml:space="preserve"> area until Quality Control gives the final AQL release.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Store released cartons on pallets by customer, order and destination, with carton labels facing outwards.</w:t>
      </w:r>
    </w:p>
    <w:p>
      <w:pPr>
        <w:pStyle w:val="ListeParagraf"/>
        <w:spacing w:after="80"/>
        <w:ind w:left="709" w:right="0"/>
        <w:jc w:val="both"/>
      </w:pPr>
      <w:r>
        <w:rPr>
          <w:rFonts w:ascii="Calibri" w:hAnsi="Calibri" w:cs="Arial"/>
          <w:sz w:val="24"/>
          <w:szCs w:val="24"/>
        </w:rPr>
        <w:t xml:space="preserve">2.2. Do not stack higher than the maximum stacking height marked on the carton or in the area; keep stacks straight and stable.</w:t>
      </w:r>
    </w:p>
    <w:p>
      <w:pPr>
        <w:pStyle w:val="ListeParagraf"/>
        <w:spacing w:after="80"/>
        <w:ind w:left="709" w:right="0"/>
        <w:jc w:val="both"/>
      </w:pPr>
      <w:r>
        <w:rPr>
          <w:rFonts w:ascii="Calibri" w:hAnsi="Calibri" w:cs="Arial"/>
          <w:sz w:val="24"/>
          <w:szCs w:val="24"/>
        </w:rPr>
        <w:t xml:space="preserve">2.3. Keep the area dry and clean; check daily for humidity, leaks, pests and damaged cartons.</w:t>
      </w:r>
    </w:p>
    <w:p>
      <w:pPr>
        <w:pStyle w:val="ListeParagraf"/>
        <w:spacing w:after="80"/>
        <w:ind w:left="709" w:right="0"/>
        <w:jc w:val="both"/>
      </w:pPr>
      <w:r>
        <w:rPr>
          <w:rFonts w:ascii="Calibri" w:hAnsi="Calibri" w:cs="Arial"/>
          <w:sz w:val="24"/>
          <w:szCs w:val="24"/>
        </w:rPr>
        <w:t xml:space="preserve">2.4. Prepare each shipment against the approved packing list; count cartons and check the carton numbers before moving them to the loading area.</w:t>
      </w:r>
    </w:p>
    <w:p>
      <w:pPr>
        <w:pStyle w:val="ListeParagraf"/>
        <w:spacing w:after="80"/>
        <w:ind w:left="709" w:right="0"/>
        <w:jc w:val="both"/>
      </w:pPr>
      <w:r>
        <w:rPr>
          <w:rFonts w:ascii="Calibri" w:hAnsi="Calibri" w:cs="Arial"/>
          <w:sz w:val="24"/>
          <w:szCs w:val="24"/>
        </w:rPr>
        <w:t xml:space="preserve">2.5. Loading is done only under the control of EMS.DP.PRO.08.02. and EMS.İD.PRO.03.05.; record every carton movement in the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allow unauthorised persons in the finished goods area; this is a restricted area under EMS.QA.PRO.02.03.</w:t>
      </w:r>
    </w:p>
    <w:p>
      <w:pPr>
        <w:pStyle w:val="ListeParagraf"/>
        <w:numPr>
          <w:ilvl w:val="0"/>
          <w:numId w:val="1"/>
        </w:numPr>
        <w:spacing w:after="60"/>
        <w:jc w:val="both"/>
      </w:pPr>
      <w:r>
        <w:rPr>
          <w:rFonts w:ascii="Calibri" w:hAnsi="Calibri" w:cs="Arial"/>
          <w:sz w:val="24"/>
          <w:szCs w:val="24"/>
        </w:rPr>
        <w:t xml:space="preserve">Do not open, repack or relabel cartons without written approval of Quality Control.</w:t>
      </w:r>
    </w:p>
    <w:p>
      <w:pPr>
        <w:pStyle w:val="ListeParagraf"/>
        <w:numPr>
          <w:ilvl w:val="0"/>
          <w:numId w:val="1"/>
        </w:numPr>
        <w:spacing w:after="60"/>
        <w:jc w:val="both"/>
      </w:pPr>
      <w:r>
        <w:rPr>
          <w:rFonts w:ascii="Calibri" w:hAnsi="Calibri" w:cs="Arial"/>
          <w:sz w:val="24"/>
          <w:szCs w:val="24"/>
        </w:rPr>
        <w:t xml:space="preserve">Do not sit or stand on cartons, and do not block aisles, exits or fire equipment.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Damaged, wet, opened or suspicious cartons are moved to the </w:t>
      </w:r>
      <w:r>
        <w:rPr>
          <w:rFonts w:ascii="Calibri" w:hAnsi="Calibri" w:cs="Arial"/>
          <w:b/>
          <w:bCs/>
          <w:sz w:val="24"/>
          <w:szCs w:val="24"/>
        </w:rPr>
        <w:t xml:space="preserve">Hold</w:t>
      </w:r>
      <w:r>
        <w:rPr>
          <w:rFonts w:ascii="Calibri" w:hAnsi="Calibri" w:cs="Arial"/>
          <w:sz w:val="24"/>
          <w:szCs w:val="24"/>
        </w:rPr>
        <w:t xml:space="preserve"> area and reported to Quality Control and Security at once.</w:t>
      </w:r>
    </w:p>
    <w:p>
      <w:pPr>
        <w:pStyle w:val="ListeParagraf"/>
        <w:spacing w:after="80"/>
        <w:ind w:left="709" w:right="0"/>
        <w:jc w:val="both"/>
      </w:pPr>
      <w:r>
        <w:rPr>
          <w:rFonts w:ascii="Calibri" w:hAnsi="Calibri" w:cs="Arial"/>
          <w:sz w:val="24"/>
          <w:szCs w:val="24"/>
        </w:rPr>
        <w:t xml:space="preserve">4.2. Any carton count difference must be investigated and solved before the shipment leaves the factory.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numPr>
          <w:ilvl w:val="0"/>
          <w:numId w:val="1"/>
        </w:numPr>
        <w:spacing w:after="60"/>
        <w:jc w:val="both"/>
      </w:pPr>
      <w:r>
        <w:rPr>
          <w:rFonts w:ascii="Calibri" w:hAnsi="Calibri" w:cs="Arial"/>
          <w:sz w:val="24"/>
          <w:szCs w:val="24"/>
        </w:rPr>
        <w:t xml:space="preserve">EMS.QA.TL.02.05. Final AQL Inspection Instruction</w:t>
      </w:r>
    </w:p>
    <w:p>
      <w:pPr>
        <w:pStyle w:val="ListeParagraf"/>
        <w:numPr>
          <w:ilvl w:val="0"/>
          <w:numId w:val="1"/>
        </w:numPr>
        <w:spacing w:after="60"/>
        <w:jc w:val="both"/>
      </w:pPr>
      <w:r>
        <w:rPr>
          <w:rFonts w:ascii="Calibri" w:hAnsi="Calibri" w:cs="Arial"/>
          <w:sz w:val="24"/>
          <w:szCs w:val="24"/>
        </w:rPr>
        <w:t xml:space="preserve">Transfer notes, packing lists, final inspection reports, finished goods stock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Warehouse Manager monitors carton damage, count differences and shipment errors monthly and reports them in the management review. This instruction is reviewed every year.</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استلام المنتجات التامة المعبأة من قسم التعبئة وتخزينها وحمايتها وتجهيزها للشحن لدى شركة إيروغلو للتريكو (EMS)، بحيث لا تُشحن إلا الكراتين المعتمدة والمعبأة بشكل صحيح، مع الحفاظ على أمنها وإمكانية تتبعها.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الكراتين المعبأة في مستودع المنتجات التامة حتى تحميلها، وعلى جميع موظفي المستودع والشحن والأمن العاملين في هذه المنطقة.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w:t>
      </w:r>
      <w:r>
        <w:rPr>
          <w:rFonts w:ascii="Calibri" w:hAnsi="Calibri" w:cs="Arial"/>
          <w:rtl/>
          <w:sz w:val="24"/>
          <w:szCs w:val="24"/>
        </w:rPr>
        <w:t xml:space="preserve"> يضمن أن تكون المنطقة آمنة ونظيفة ومنظمة وأن تكون سجلات المخزون صحيحة.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المنتجات التامة:</w:t>
      </w:r>
      <w:r>
        <w:rPr>
          <w:rFonts w:ascii="Calibri" w:hAnsi="Calibri" w:cs="Arial"/>
          <w:rtl/>
          <w:sz w:val="24"/>
          <w:szCs w:val="24"/>
        </w:rPr>
        <w:t xml:space="preserve"> يستلمون الكراتين ويفحصونها ويخزنونها ويجهزونها للشحن وفق هذه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w:t>
      </w:r>
      <w:r>
        <w:rPr>
          <w:rFonts w:ascii="Calibri" w:hAnsi="Calibri" w:cs="Arial"/>
          <w:rtl/>
          <w:sz w:val="24"/>
          <w:szCs w:val="24"/>
        </w:rPr>
        <w:t xml:space="preserve"> تُفرج عن اللوطات بعد فحص AQL النهائي؛ </w:t>
      </w:r>
      <w:r>
        <w:rPr>
          <w:rFonts w:ascii="Calibri" w:hAnsi="Calibri" w:cs="Arial"/>
          <w:b/>
          <w:bCs/>
          <w:rtl/>
          <w:sz w:val="24"/>
          <w:szCs w:val="24"/>
        </w:rPr>
        <w:t xml:space="preserve">الأمن:</w:t>
      </w:r>
      <w:r>
        <w:rPr>
          <w:rFonts w:ascii="Calibri" w:hAnsi="Calibri" w:cs="Arial"/>
          <w:rtl/>
          <w:sz w:val="24"/>
          <w:szCs w:val="24"/>
        </w:rPr>
        <w:t xml:space="preserve"> يراقب الدخول إلى المنطقة.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استلم الكراتين من التعبئة فقط مع إشعار تحويل موقّع يبيّن الأمر والموديل واللون وتوزيع المقاسات وأرقام الكراتين.</w:t>
      </w:r>
    </w:p>
    <w:p>
      <w:pPr>
        <w:pStyle w:val="ListeParagraf"/>
        <w:bidi/>
        <w:spacing w:after="80"/>
        <w:ind w:left="0" w:right="709"/>
        <w:jc w:val="both"/>
      </w:pPr>
      <w:r>
        <w:rPr>
          <w:rFonts w:ascii="Calibri" w:hAnsi="Calibri" w:cs="Arial"/>
          <w:rtl/>
          <w:sz w:val="24"/>
          <w:szCs w:val="24"/>
        </w:rPr>
        <w:t xml:space="preserve">1.2. تأكد من أن الكراتين قد اجتازت كشف المعادن، وأن علامات الكراتين وملصقاتها صحيحة، وأنها مغلقة ونظيفة وسليمة.</w:t>
      </w:r>
    </w:p>
    <w:p>
      <w:pPr>
        <w:pStyle w:val="ListeParagraf"/>
        <w:bidi/>
        <w:spacing w:after="80"/>
        <w:ind w:left="0" w:right="709"/>
        <w:jc w:val="both"/>
      </w:pPr>
      <w:r>
        <w:rPr>
          <w:rFonts w:ascii="Calibri" w:hAnsi="Calibri" w:cs="Arial"/>
          <w:rtl/>
          <w:sz w:val="24"/>
          <w:szCs w:val="24"/>
        </w:rPr>
        <w:t xml:space="preserve">1.3. ضع الكراتين في منطقة </w:t>
      </w:r>
      <w:r>
        <w:rPr>
          <w:rFonts w:ascii="Calibri" w:hAnsi="Calibri" w:cs="Arial"/>
          <w:b/>
          <w:bCs/>
          <w:rtl/>
          <w:sz w:val="24"/>
          <w:szCs w:val="24"/>
        </w:rPr>
        <w:t xml:space="preserve">بانتظار الفحص النهائي</w:t>
      </w:r>
      <w:r>
        <w:rPr>
          <w:rFonts w:ascii="Calibri" w:hAnsi="Calibri" w:cs="Arial"/>
          <w:rtl/>
          <w:sz w:val="24"/>
          <w:szCs w:val="24"/>
        </w:rPr>
        <w:t xml:space="preserve"> إلى أن تمنح مراقبة الجودة الإفراج النهائي وفق AQL.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خزّن الكراتين المُفرج عنها على المنصات حسب العميل والأمر والوجهة، مع توجيه ملصقات الكراتين إلى الخارج.</w:t>
      </w:r>
    </w:p>
    <w:p>
      <w:pPr>
        <w:pStyle w:val="ListeParagraf"/>
        <w:bidi/>
        <w:spacing w:after="80"/>
        <w:ind w:left="0" w:right="709"/>
        <w:jc w:val="both"/>
      </w:pPr>
      <w:r>
        <w:rPr>
          <w:rFonts w:ascii="Calibri" w:hAnsi="Calibri" w:cs="Arial"/>
          <w:rtl/>
          <w:sz w:val="24"/>
          <w:szCs w:val="24"/>
        </w:rPr>
        <w:t xml:space="preserve">2.2. لا ترصّ الكراتين أعلى من الحد الأقصى لارتفاع الرصّ المعلَّم على الكرتونة أو في المنطقة؛ وحافظ على استقامة الأكوام وثباتها.</w:t>
      </w:r>
    </w:p>
    <w:p>
      <w:pPr>
        <w:pStyle w:val="ListeParagraf"/>
        <w:bidi/>
        <w:spacing w:after="80"/>
        <w:ind w:left="0" w:right="709"/>
        <w:jc w:val="both"/>
      </w:pPr>
      <w:r>
        <w:rPr>
          <w:rFonts w:ascii="Calibri" w:hAnsi="Calibri" w:cs="Arial"/>
          <w:rtl/>
          <w:sz w:val="24"/>
          <w:szCs w:val="24"/>
        </w:rPr>
        <w:t xml:space="preserve">2.3. حافظ على جفاف المنطقة ونظافتها؛ وافحص يوميًا الرطوبة والتسربات والآفات والكراتين التالفة.</w:t>
      </w:r>
    </w:p>
    <w:p>
      <w:pPr>
        <w:pStyle w:val="ListeParagraf"/>
        <w:bidi/>
        <w:spacing w:after="80"/>
        <w:ind w:left="0" w:right="709"/>
        <w:jc w:val="both"/>
      </w:pPr>
      <w:r>
        <w:rPr>
          <w:rFonts w:ascii="Calibri" w:hAnsi="Calibri" w:cs="Arial"/>
          <w:rtl/>
          <w:sz w:val="24"/>
          <w:szCs w:val="24"/>
        </w:rPr>
        <w:t xml:space="preserve">2.4. جهّز كل شحنة وفق قائمة التعبئة المعتمدة؛ وعُدّ الكراتين وتحقق من أرقامها قبل نقلها إلى منطقة التحميل.</w:t>
      </w:r>
    </w:p>
    <w:p>
      <w:pPr>
        <w:pStyle w:val="ListeParagraf"/>
        <w:bidi/>
        <w:spacing w:after="80"/>
        <w:ind w:left="0" w:right="709"/>
        <w:jc w:val="both"/>
      </w:pPr>
      <w:r>
        <w:rPr>
          <w:rFonts w:ascii="Calibri" w:hAnsi="Calibri" w:cs="Arial"/>
          <w:rtl/>
          <w:sz w:val="24"/>
          <w:szCs w:val="24"/>
        </w:rPr>
        <w:t xml:space="preserve">2.5. لا يتم التحميل إلا تحت رقابة EMS.DP.PRO.08.02. وEMS.İD.PRO.03.05.؛ وسجّل كل حركة للكراتين في النظام.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تسمح للأشخاص غير المصرح لهم بدخول منطقة المنتجات التامة؛ فهي منطقة مقيدة وفق EMS.QA.PRO.02.03.</w:t>
      </w:r>
    </w:p>
    <w:p>
      <w:pPr>
        <w:pStyle w:val="ListeParagraf"/>
        <w:numPr>
          <w:ilvl w:val="0"/>
          <w:numId w:val="1"/>
        </w:numPr>
        <w:bidi/>
        <w:spacing w:after="60"/>
        <w:jc w:val="both"/>
      </w:pPr>
      <w:r>
        <w:rPr>
          <w:rFonts w:ascii="Calibri" w:hAnsi="Calibri" w:cs="Arial"/>
          <w:rtl/>
          <w:sz w:val="24"/>
          <w:szCs w:val="24"/>
        </w:rPr>
        <w:t xml:space="preserve">لا تفتح الكراتين ولا تُعِد تعبئتها ولا تغيّر ملصقاتها دون موافقة كتابية من مراقبة الجودة.</w:t>
      </w:r>
    </w:p>
    <w:p>
      <w:pPr>
        <w:pStyle w:val="ListeParagraf"/>
        <w:numPr>
          <w:ilvl w:val="0"/>
          <w:numId w:val="1"/>
        </w:numPr>
        <w:bidi/>
        <w:spacing w:after="60"/>
        <w:jc w:val="both"/>
      </w:pPr>
      <w:r>
        <w:rPr>
          <w:rFonts w:ascii="Calibri" w:hAnsi="Calibri" w:cs="Arial"/>
          <w:rtl/>
          <w:sz w:val="24"/>
          <w:szCs w:val="24"/>
        </w:rPr>
        <w:t xml:space="preserve">لا تجلس ولا تقف على الكراتين، ولا تُغلق الممرات أو المخارج أو معدات الحريق.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طارئ</w:t>
      </w:r>
    </w:p>
    <w:p>
      <w:pPr>
        <w:pStyle w:val="ListeParagraf"/>
        <w:bidi/>
        <w:spacing w:after="80"/>
        <w:ind w:left="0" w:right="709"/>
        <w:jc w:val="both"/>
      </w:pPr>
      <w:r>
        <w:rPr>
          <w:rFonts w:ascii="Calibri" w:hAnsi="Calibri" w:cs="Arial"/>
          <w:rtl/>
          <w:sz w:val="24"/>
          <w:szCs w:val="24"/>
        </w:rPr>
        <w:t xml:space="preserve">4.1. تُنقل الكراتين التالفة أو المبللة أو المفتوحة أو المشبوهة إلى منطقة </w:t>
      </w:r>
      <w:r>
        <w:rPr>
          <w:rFonts w:ascii="Calibri" w:hAnsi="Calibri" w:cs="Arial"/>
          <w:b/>
          <w:bCs/>
          <w:rtl/>
          <w:sz w:val="24"/>
          <w:szCs w:val="24"/>
        </w:rPr>
        <w:t xml:space="preserve">الإيقاف</w:t>
      </w:r>
      <w:r>
        <w:rPr>
          <w:rFonts w:ascii="Calibri" w:hAnsi="Calibri" w:cs="Arial"/>
          <w:rtl/>
          <w:sz w:val="24"/>
          <w:szCs w:val="24"/>
        </w:rPr>
        <w:t xml:space="preserve"> ويُبلَّغ عنها فورًا لمراقبة الجودة والأمن.</w:t>
      </w:r>
    </w:p>
    <w:p>
      <w:pPr>
        <w:pStyle w:val="ListeParagraf"/>
        <w:bidi/>
        <w:spacing w:after="80"/>
        <w:ind w:left="0" w:right="709"/>
        <w:jc w:val="both"/>
      </w:pPr>
      <w:r>
        <w:rPr>
          <w:rFonts w:ascii="Calibri" w:hAnsi="Calibri" w:cs="Arial"/>
          <w:rtl/>
          <w:sz w:val="24"/>
          <w:szCs w:val="24"/>
        </w:rPr>
        <w:t xml:space="preserve">4.2. يجب التحقيق في أي فرق في عدد الكراتين ومعالجته قبل خروج الشحنة من المصنع.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numPr>
          <w:ilvl w:val="0"/>
          <w:numId w:val="1"/>
        </w:numPr>
        <w:bidi/>
        <w:spacing w:after="60"/>
        <w:jc w:val="both"/>
      </w:pPr>
      <w:r>
        <w:rPr>
          <w:rFonts w:ascii="Calibri" w:hAnsi="Calibri" w:cs="Arial"/>
          <w:rtl/>
          <w:sz w:val="24"/>
          <w:szCs w:val="24"/>
        </w:rPr>
        <w:t xml:space="preserve">EMS.QA.TL.02.05. تعليمات فحص AQL النهائي</w:t>
      </w:r>
    </w:p>
    <w:p>
      <w:pPr>
        <w:pStyle w:val="ListeParagraf"/>
        <w:numPr>
          <w:ilvl w:val="0"/>
          <w:numId w:val="1"/>
        </w:numPr>
        <w:bidi/>
        <w:spacing w:after="60"/>
        <w:jc w:val="both"/>
      </w:pPr>
      <w:r>
        <w:rPr>
          <w:rFonts w:ascii="Calibri" w:hAnsi="Calibri" w:cs="Arial"/>
          <w:rtl/>
          <w:sz w:val="24"/>
          <w:szCs w:val="24"/>
        </w:rPr>
        <w:t xml:space="preserve">إشعارات التحويل، وقوائم التعبئة، وتقارير الفحص النهائي، وسجلات مخزون المنتجات التامة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المستودع تلف الكراتين وفروقات العدد وأخطاء الشحن شهريًا ويعرضها في مراجعة الإدارة. وتُراجع هذه التعليمات سنويًا.</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FINISHED GOODS WAREHOUSE INSTRUCTION</w:t>
          </w:r>
        </w:p>
        <w:p>
          <w:pPr>
            <w:pStyle w:val="GvdeMetni2"/>
            <w:bidi/>
            <w:spacing w:line="276" w:lineRule="auto"/>
            <w:jc w:val="center"/>
          </w:pPr>
          <w:r>
            <w:rPr>
              <w:rFonts w:asciiTheme="minorHAnsi" w:hAnsiTheme="minorHAnsi" w:cs="Arial"/>
              <w:b/>
              <w:bCs/>
              <w:color w:val="000000" w:themeColor="text1"/>
              <w:sz w:val="22"/>
              <w:szCs w:val="22"/>
              <w:rtl/>
            </w:rPr>
            <w:t>تعليمات مستودع المنتجات التامة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EMS.DP.TL.08.03.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EMS.DP.TL.08.03. FINISHED GOODS WAREHOUSE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