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new employees are welcomed, informed and trained at Eroglu Knitting (EMS) before and during their first weeks of work, so that they understand their rights, the company rules and the risks of their job and can work safely and productively.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newly hired, rehired and transferred employees at all levels, including temporary and probationary workers. Short-term contractors receive the site safety induction described in step 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Plans and coordinates the orientation programme, explains employment terms and rights, and keeps the orientation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Gives the OHS, fire and emergency induction and issues personal protective equipment (PPE).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Give the job-specific training, assign a mentor and evaluate the new employee at the end of the orientation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Mentor (Buddy):</w:t>
      </w:r>
      <w:r>
        <w:rPr>
          <w:rFonts w:ascii="Calibri" w:hAnsi="Calibri" w:cs="Arial"/>
          <w:sz w:val="24"/>
          <w:szCs w:val="24"/>
        </w:rPr>
        <w:t xml:space="preserve"> An experienced employee who supports the new employee on the job during the first weeks.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Orientation:</w:t>
      </w:r>
      <w:r>
        <w:rPr>
          <w:rFonts w:ascii="Calibri" w:hAnsi="Calibri" w:cs="Arial"/>
          <w:sz w:val="24"/>
          <w:szCs w:val="24"/>
        </w:rPr>
        <w:t xml:space="preserve"> The structured programme that introduces a new employee to the company, its rules, rights and the requirements of the job.</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Orientation Checklist:</w:t>
      </w:r>
      <w:r>
        <w:rPr>
          <w:rFonts w:ascii="Calibri" w:hAnsi="Calibri" w:cs="Arial"/>
          <w:sz w:val="24"/>
          <w:szCs w:val="24"/>
        </w:rPr>
        <w:t xml:space="preserve"> The form listing all orientation topics, signed by the trainer and the employee for each topic.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Mentor:</w:t>
      </w:r>
      <w:r>
        <w:rPr>
          <w:rFonts w:ascii="Calibri" w:hAnsi="Calibri" w:cs="Arial"/>
          <w:sz w:val="24"/>
          <w:szCs w:val="24"/>
        </w:rPr>
        <w:t xml:space="preserve"> An experienced employee assigned to guide the new employee during the adaptation period.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BEFORE THE FIRST DAY</w:t>
      </w:r>
    </w:p>
    <w:p>
      <w:pPr>
        <w:pStyle w:val="ListeParagraf"/>
        <w:spacing w:after="80"/>
        <w:ind w:left="709" w:right="0"/>
        <w:jc w:val="both"/>
      </w:pPr>
      <w:r>
        <w:rPr>
          <w:rFonts w:ascii="Calibri" w:hAnsi="Calibri" w:cs="Arial"/>
          <w:sz w:val="24"/>
          <w:szCs w:val="24"/>
        </w:rPr>
        <w:t xml:space="preserve">1.1. After recruitment is completed in line with EMS.İK.PRO.01.08., HR prepares the personal file, the employee ID card and the orientation schedule.</w:t>
      </w:r>
    </w:p>
    <w:p>
      <w:pPr>
        <w:pStyle w:val="ListeParagraf"/>
        <w:spacing w:after="80"/>
        <w:ind w:left="709" w:right="0"/>
        <w:jc w:val="both"/>
      </w:pPr>
      <w:r>
        <w:rPr>
          <w:rFonts w:ascii="Calibri" w:hAnsi="Calibri" w:cs="Arial"/>
          <w:sz w:val="24"/>
          <w:szCs w:val="24"/>
        </w:rPr>
        <w:t xml:space="preserve">1.2. Age and identity documents are verified in line with the child labour procedure (EMS.İK.PRO.01.01.) before the employee starts work.</w:t>
      </w:r>
    </w:p>
    <w:p>
      <w:pPr>
        <w:pStyle w:val="ListeParagraf"/>
        <w:spacing w:after="80"/>
        <w:ind w:left="709" w:right="0"/>
        <w:jc w:val="both"/>
      </w:pPr>
      <w:r>
        <w:rPr>
          <w:rFonts w:ascii="Calibri" w:hAnsi="Calibri" w:cs="Arial"/>
          <w:sz w:val="24"/>
          <w:szCs w:val="24"/>
        </w:rPr>
        <w:t xml:space="preserve">1.3. The department manager is informed and a mentor is assigned.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FIRST DAY – GENERAL ORIENTATION (HR)</w:t>
      </w:r>
    </w:p>
    <w:p>
      <w:pPr>
        <w:pStyle w:val="ListeParagraf"/>
        <w:spacing w:after="80"/>
        <w:ind w:left="709" w:right="0"/>
        <w:jc w:val="both"/>
      </w:pPr>
      <w:r>
        <w:rPr>
          <w:rFonts w:ascii="Calibri" w:hAnsi="Calibri" w:cs="Arial"/>
          <w:sz w:val="24"/>
          <w:szCs w:val="24"/>
        </w:rPr>
        <w:t xml:space="preserve">2.1. HR gives the general orientation in Arabic or in a language the employee understands, covering:</w:t>
      </w:r>
    </w:p>
    <w:p>
      <w:pPr>
        <w:pStyle w:val="ListeParagraf"/>
        <w:numPr>
          <w:ilvl w:val="0"/>
          <w:numId w:val="1"/>
        </w:numPr>
        <w:spacing w:after="60"/>
        <w:jc w:val="both"/>
      </w:pPr>
      <w:r>
        <w:rPr>
          <w:rFonts w:ascii="Calibri" w:hAnsi="Calibri" w:cs="Arial"/>
          <w:sz w:val="24"/>
          <w:szCs w:val="24"/>
        </w:rPr>
        <w:t xml:space="preserve">Company introduction, organisation chart, working hours, overtime rules, wages, payslips and leave entitlements,</w:t>
      </w:r>
    </w:p>
    <w:p>
      <w:pPr>
        <w:pStyle w:val="ListeParagraf"/>
        <w:numPr>
          <w:ilvl w:val="0"/>
          <w:numId w:val="1"/>
        </w:numPr>
        <w:spacing w:after="60"/>
        <w:jc w:val="both"/>
      </w:pPr>
      <w:r>
        <w:rPr>
          <w:rFonts w:ascii="Calibri" w:hAnsi="Calibri" w:cs="Arial"/>
          <w:sz w:val="24"/>
          <w:szCs w:val="24"/>
        </w:rPr>
        <w:t xml:space="preserve">Employment contract: a signed copy is given to the employee, who confirms in writing that the terms have been explained,</w:t>
      </w:r>
    </w:p>
    <w:p>
      <w:pPr>
        <w:pStyle w:val="ListeParagraf"/>
        <w:numPr>
          <w:ilvl w:val="0"/>
          <w:numId w:val="1"/>
        </w:numPr>
        <w:spacing w:after="60"/>
        <w:jc w:val="both"/>
      </w:pPr>
      <w:r>
        <w:rPr>
          <w:rFonts w:ascii="Calibri" w:hAnsi="Calibri" w:cs="Arial"/>
          <w:sz w:val="24"/>
          <w:szCs w:val="24"/>
        </w:rPr>
        <w:t xml:space="preserve">Workers’ rights: freedom of association, non-discrimination, anti-harassment, disciplinary rules and the grievance mechanism and hotline,</w:t>
      </w:r>
    </w:p>
    <w:p>
      <w:pPr>
        <w:pStyle w:val="ListeParagraf"/>
        <w:numPr>
          <w:ilvl w:val="0"/>
          <w:numId w:val="1"/>
        </w:numPr>
        <w:spacing w:after="60"/>
        <w:jc w:val="both"/>
      </w:pPr>
      <w:r>
        <w:rPr>
          <w:rFonts w:ascii="Calibri" w:hAnsi="Calibri" w:cs="Arial"/>
          <w:sz w:val="24"/>
          <w:szCs w:val="24"/>
        </w:rPr>
        <w:t xml:space="preserve">Customer codes of conduct, anti-bribery rules and confidentiality.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OHS, FIRE AND ENVIRONMENTAL INDUCTION</w:t>
      </w:r>
    </w:p>
    <w:p>
      <w:pPr>
        <w:pStyle w:val="ListeParagraf"/>
        <w:spacing w:after="80"/>
        <w:ind w:left="709" w:right="0"/>
        <w:jc w:val="both"/>
      </w:pPr>
      <w:r>
        <w:rPr>
          <w:rFonts w:ascii="Calibri" w:hAnsi="Calibri" w:cs="Arial"/>
          <w:sz w:val="24"/>
          <w:szCs w:val="24"/>
        </w:rPr>
        <w:t xml:space="preserve">3.1. Before entering the production area, the OHS Specialist explains workplace hazards, safety rules, PPE use, first aid, fire prevention, emergency exits and assembly points.</w:t>
      </w:r>
    </w:p>
    <w:p>
      <w:pPr>
        <w:pStyle w:val="ListeParagraf"/>
        <w:spacing w:after="80"/>
        <w:ind w:left="709" w:right="0"/>
        <w:jc w:val="both"/>
      </w:pPr>
      <w:r>
        <w:rPr>
          <w:rFonts w:ascii="Calibri" w:hAnsi="Calibri" w:cs="Arial"/>
          <w:sz w:val="24"/>
          <w:szCs w:val="24"/>
        </w:rPr>
        <w:t xml:space="preserve">3.2. Chemical hazard communication (GHS labels and safety data sheets), waste segregation and energy/water saving are explained.</w:t>
      </w:r>
    </w:p>
    <w:p>
      <w:pPr>
        <w:pStyle w:val="ListeParagraf"/>
        <w:spacing w:after="80"/>
        <w:ind w:left="709" w:right="0"/>
        <w:jc w:val="both"/>
      </w:pPr>
      <w:r>
        <w:rPr>
          <w:rFonts w:ascii="Calibri" w:hAnsi="Calibri" w:cs="Arial"/>
          <w:sz w:val="24"/>
          <w:szCs w:val="24"/>
        </w:rPr>
        <w:t xml:space="preserve">3.3. Pregnant and nursing employees are informed of the protective measures in EMS.İK.PRO.01.03.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JOB-SPECIFIC TRAINING</w:t>
      </w:r>
    </w:p>
    <w:p>
      <w:pPr>
        <w:pStyle w:val="ListeParagraf"/>
        <w:spacing w:after="80"/>
        <w:ind w:left="709" w:right="0"/>
        <w:jc w:val="both"/>
      </w:pPr>
      <w:r>
        <w:rPr>
          <w:rFonts w:ascii="Calibri" w:hAnsi="Calibri" w:cs="Arial"/>
          <w:sz w:val="24"/>
          <w:szCs w:val="24"/>
        </w:rPr>
        <w:t xml:space="preserve">4.1. The supervisor explains the work instructions, machine safety, quality standards, needle and sharp tools control and sensitive area rules of the job.</w:t>
      </w:r>
    </w:p>
    <w:p>
      <w:pPr>
        <w:pStyle w:val="ListeParagraf"/>
        <w:spacing w:after="80"/>
        <w:ind w:left="709" w:right="0"/>
        <w:jc w:val="both"/>
      </w:pPr>
      <w:r>
        <w:rPr>
          <w:rFonts w:ascii="Calibri" w:hAnsi="Calibri" w:cs="Arial"/>
          <w:sz w:val="24"/>
          <w:szCs w:val="24"/>
        </w:rPr>
        <w:t xml:space="preserve">4.2. The new employee works under the supervision of the mentor until the supervisor confirms that the employee can work independently.</w:t>
      </w:r>
    </w:p>
    <w:p>
      <w:pPr>
        <w:pStyle w:val="ListeParagraf"/>
        <w:spacing w:after="80"/>
        <w:ind w:left="709" w:right="0"/>
        <w:jc w:val="both"/>
      </w:pPr>
      <w:r>
        <w:rPr>
          <w:rFonts w:ascii="Calibri" w:hAnsi="Calibri" w:cs="Arial"/>
          <w:sz w:val="24"/>
          <w:szCs w:val="24"/>
        </w:rPr>
        <w:t xml:space="preserve">4.3. New employees are not assigned to hazardous tasks (for example chemical handling, forklift driving, electrical work) until they have completed the required training and authorisation.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EVALUATION AND COMPLETION</w:t>
      </w:r>
    </w:p>
    <w:p>
      <w:pPr>
        <w:pStyle w:val="ListeParagraf"/>
        <w:spacing w:after="80"/>
        <w:ind w:left="709" w:right="0"/>
        <w:jc w:val="both"/>
      </w:pPr>
      <w:r>
        <w:rPr>
          <w:rFonts w:ascii="Calibri" w:hAnsi="Calibri" w:cs="Arial"/>
          <w:sz w:val="24"/>
          <w:szCs w:val="24"/>
        </w:rPr>
        <w:t xml:space="preserve">5.1. Each orientation topic is signed on the orientation checklist by the trainer and the employee.</w:t>
      </w:r>
    </w:p>
    <w:p>
      <w:pPr>
        <w:pStyle w:val="ListeParagraf"/>
        <w:spacing w:after="80"/>
        <w:ind w:left="709" w:right="0"/>
        <w:jc w:val="both"/>
      </w:pPr>
      <w:r>
        <w:rPr>
          <w:rFonts w:ascii="Calibri" w:hAnsi="Calibri" w:cs="Arial"/>
          <w:sz w:val="24"/>
          <w:szCs w:val="24"/>
        </w:rPr>
        <w:t xml:space="preserve">5.2. At the end of the first month the supervisor evaluates the employee’s adaptation and skills; additional training is planned where needed.</w:t>
      </w:r>
    </w:p>
    <w:p>
      <w:pPr>
        <w:pStyle w:val="ListeParagraf"/>
        <w:spacing w:after="80"/>
        <w:ind w:left="709" w:right="0"/>
        <w:jc w:val="both"/>
      </w:pPr>
      <w:r>
        <w:rPr>
          <w:rFonts w:ascii="Calibri" w:hAnsi="Calibri" w:cs="Arial"/>
          <w:sz w:val="24"/>
          <w:szCs w:val="24"/>
        </w:rPr>
        <w:t xml:space="preserve">5.3. The completed checklist is kept in the employee’s personal file and the employee is added to the skills matrix.</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HR monitors the following indicators every quarter:</w:t>
      </w:r>
    </w:p>
    <w:p>
      <w:pPr>
        <w:pStyle w:val="ListeParagraf"/>
        <w:numPr>
          <w:ilvl w:val="0"/>
          <w:numId w:val="1"/>
        </w:numPr>
        <w:spacing w:after="60"/>
        <w:jc w:val="both"/>
      </w:pPr>
      <w:r>
        <w:rPr>
          <w:rFonts w:ascii="Calibri" w:hAnsi="Calibri" w:cs="Arial"/>
          <w:sz w:val="24"/>
          <w:szCs w:val="24"/>
        </w:rPr>
        <w:t xml:space="preserve">Percentage of new employees completing orientation before starting work (target 100%),</w:t>
      </w:r>
    </w:p>
    <w:p>
      <w:pPr>
        <w:pStyle w:val="ListeParagraf"/>
        <w:numPr>
          <w:ilvl w:val="0"/>
          <w:numId w:val="1"/>
        </w:numPr>
        <w:spacing w:after="60"/>
        <w:jc w:val="both"/>
      </w:pPr>
      <w:r>
        <w:rPr>
          <w:rFonts w:ascii="Calibri" w:hAnsi="Calibri" w:cs="Arial"/>
          <w:sz w:val="24"/>
          <w:szCs w:val="24"/>
        </w:rPr>
        <w:t xml:space="preserve">Turnover rate of new employees within the first 3 months,</w:t>
      </w:r>
    </w:p>
    <w:p>
      <w:pPr>
        <w:pStyle w:val="ListeParagraf"/>
        <w:numPr>
          <w:ilvl w:val="0"/>
          <w:numId w:val="1"/>
        </w:numPr>
        <w:spacing w:after="60"/>
        <w:jc w:val="both"/>
      </w:pPr>
      <w:r>
        <w:rPr>
          <w:rFonts w:ascii="Calibri" w:hAnsi="Calibri" w:cs="Arial"/>
          <w:sz w:val="24"/>
          <w:szCs w:val="24"/>
        </w:rPr>
        <w:t xml:space="preserve">Number of incidents involving employees with less than 6 months of service.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New Employee Orientation Checklist</w:t>
      </w:r>
    </w:p>
    <w:p>
      <w:pPr>
        <w:pStyle w:val="ListeParagraf"/>
        <w:numPr>
          <w:ilvl w:val="0"/>
          <w:numId w:val="1"/>
        </w:numPr>
        <w:spacing w:after="60"/>
        <w:jc w:val="both"/>
      </w:pPr>
      <w:r>
        <w:rPr>
          <w:rFonts w:ascii="Calibri" w:hAnsi="Calibri" w:cs="Arial"/>
          <w:sz w:val="24"/>
          <w:szCs w:val="24"/>
        </w:rPr>
        <w:t xml:space="preserve">Employment Contract and Personal File</w:t>
      </w:r>
    </w:p>
    <w:p>
      <w:pPr>
        <w:pStyle w:val="ListeParagraf"/>
        <w:numPr>
          <w:ilvl w:val="0"/>
          <w:numId w:val="1"/>
        </w:numPr>
        <w:spacing w:after="60"/>
        <w:jc w:val="both"/>
      </w:pPr>
      <w:r>
        <w:rPr>
          <w:rFonts w:ascii="Calibri" w:hAnsi="Calibri" w:cs="Arial"/>
          <w:sz w:val="24"/>
          <w:szCs w:val="24"/>
        </w:rPr>
        <w:t xml:space="preserve">PPE Issue Record</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numPr>
          <w:ilvl w:val="0"/>
          <w:numId w:val="1"/>
        </w:numPr>
        <w:spacing w:after="60"/>
        <w:jc w:val="both"/>
      </w:pPr>
      <w:r>
        <w:rPr>
          <w:rFonts w:ascii="Calibri" w:hAnsi="Calibri" w:cs="Arial"/>
          <w:sz w:val="24"/>
          <w:szCs w:val="24"/>
        </w:rPr>
        <w:t xml:space="preserve">EMS.EG.PRO.12.01. Training Planning and Effectiveness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New employees give feedback on the orientation through a short survey at the end of the first month. This procedure is reviewed every year by the HR Manager and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استقبال الموظفين الجدد وتعريفهم وتدريبهم في شركة إيروغلو للتريكو (EMS) قبل أسابيع عملهم الأولى وخلالها، بحيث يفهمون حقوقهم وقواعد الشركة ومخاطر عملهم ويتمكنون من العمل بأمان وإنتاجية.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الموظفين المعينين حديثًا والمعاد تعيينهم والمنقولين في جميع المستويات، بما في ذلك العمال المؤقتون وتحت الاختبار. ويتلقى المقاولون قصيرو الأجل التدريب التعريفي على سلامة الموقع الموضح في الخطوة 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يخطط برنامج التدريب التعريفي وينسقه، ويشرح شروط التوظيف والحقوق، ويحفظ سجلات التدريب التعريفي.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يقدم التدريب التعريفي على السلامة والصحة المهنية والحريق والطوارئ، ويصرف معدات الحماية الشخصية (PPE).</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 المشرفون:</w:t>
      </w:r>
      <w:r>
        <w:rPr>
          <w:rFonts w:ascii="Calibri" w:hAnsi="Calibri" w:cs="Arial"/>
          <w:rtl/>
          <w:sz w:val="24"/>
          <w:szCs w:val="24"/>
        </w:rPr>
        <w:t xml:space="preserve"> يقدمون التدريب الخاص بالوظيفة، ويكلفون موجهًا، ويقيّمون الموظف الجديد في نهاية فترة التدريب التعريفي.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الموجه (الزميل المرافق):</w:t>
      </w:r>
      <w:r>
        <w:rPr>
          <w:rFonts w:ascii="Calibri" w:hAnsi="Calibri" w:cs="Arial"/>
          <w:rtl/>
          <w:sz w:val="24"/>
          <w:szCs w:val="24"/>
        </w:rPr>
        <w:t xml:space="preserve"> موظف ذو خبرة يدعم الموظف الجديد في العمل خلال الأسابيع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التعريفي:</w:t>
      </w:r>
      <w:r>
        <w:rPr>
          <w:rFonts w:ascii="Calibri" w:hAnsi="Calibri" w:cs="Arial"/>
          <w:rtl/>
          <w:sz w:val="24"/>
          <w:szCs w:val="24"/>
        </w:rPr>
        <w:t xml:space="preserve"> البرنامج المنظم الذي يعرّف الموظف الجديد بالشركة وقواعدها وحقوقه ومتطلبات وظيفته.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التدريب التعريفي:</w:t>
      </w:r>
      <w:r>
        <w:rPr>
          <w:rFonts w:ascii="Calibri" w:hAnsi="Calibri" w:cs="Arial"/>
          <w:rtl/>
          <w:sz w:val="24"/>
          <w:szCs w:val="24"/>
        </w:rPr>
        <w:t xml:space="preserve"> النموذج الذي يضم جميع موضوعات التدريب التعريفي، ويوقع عليه المدرب والموظف لكل موضوع.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الموجه:</w:t>
      </w:r>
      <w:r>
        <w:rPr>
          <w:rFonts w:ascii="Calibri" w:hAnsi="Calibri" w:cs="Arial"/>
          <w:rtl/>
          <w:sz w:val="24"/>
          <w:szCs w:val="24"/>
        </w:rPr>
        <w:t xml:space="preserve"> موظف ذو خبرة يُكلف بإرشاد الموظف الجديد خلال فترة التكيف.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قبل اليوم الأول</w:t>
      </w:r>
    </w:p>
    <w:p>
      <w:pPr>
        <w:pStyle w:val="ListeParagraf"/>
        <w:bidi/>
        <w:spacing w:after="80"/>
        <w:ind w:left="0" w:right="709"/>
        <w:jc w:val="both"/>
      </w:pPr>
      <w:r>
        <w:rPr>
          <w:rFonts w:ascii="Calibri" w:hAnsi="Calibri" w:cs="Arial"/>
          <w:rtl/>
          <w:sz w:val="24"/>
          <w:szCs w:val="24"/>
        </w:rPr>
        <w:t xml:space="preserve">1.1. بعد إتمام التوظيف وفق الإجراء EMS.İK.PRO.01.08.، تعد الموارد البشرية الملف الشخصي وبطاقة هوية الموظف وجدول التدريب التعريفي.</w:t>
      </w:r>
    </w:p>
    <w:p>
      <w:pPr>
        <w:pStyle w:val="ListeParagraf"/>
        <w:bidi/>
        <w:spacing w:after="80"/>
        <w:ind w:left="0" w:right="709"/>
        <w:jc w:val="both"/>
      </w:pPr>
      <w:r>
        <w:rPr>
          <w:rFonts w:ascii="Calibri" w:hAnsi="Calibri" w:cs="Arial"/>
          <w:rtl/>
          <w:sz w:val="24"/>
          <w:szCs w:val="24"/>
        </w:rPr>
        <w:t xml:space="preserve">1.2. يُتحقق من مستندات العمر والهوية وفق إجراء عمالة الأطفال (EMS.İK.PRO.01.01.) قبل بدء الموظف العمل.</w:t>
      </w:r>
    </w:p>
    <w:p>
      <w:pPr>
        <w:pStyle w:val="ListeParagraf"/>
        <w:bidi/>
        <w:spacing w:after="80"/>
        <w:ind w:left="0" w:right="709"/>
        <w:jc w:val="both"/>
      </w:pPr>
      <w:r>
        <w:rPr>
          <w:rFonts w:ascii="Calibri" w:hAnsi="Calibri" w:cs="Arial"/>
          <w:rtl/>
          <w:sz w:val="24"/>
          <w:szCs w:val="24"/>
        </w:rPr>
        <w:t xml:space="preserve">1.3. يُبلغ مدير القسم ويُكلف موجه.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اليوم الأول – التدريب التعريفي العام (الموارد البشرية)</w:t>
      </w:r>
    </w:p>
    <w:p>
      <w:pPr>
        <w:pStyle w:val="ListeParagraf"/>
        <w:bidi/>
        <w:spacing w:after="80"/>
        <w:ind w:left="0" w:right="709"/>
        <w:jc w:val="both"/>
      </w:pPr>
      <w:r>
        <w:rPr>
          <w:rFonts w:ascii="Calibri" w:hAnsi="Calibri" w:cs="Arial"/>
          <w:rtl/>
          <w:sz w:val="24"/>
          <w:szCs w:val="24"/>
        </w:rPr>
        <w:t xml:space="preserve">2.1. تقدم الموارد البشرية التدريب التعريفي العام باللغة العربية أو بلغة يفهمها الموظف، ويشمل:</w:t>
      </w:r>
    </w:p>
    <w:p>
      <w:pPr>
        <w:pStyle w:val="ListeParagraf"/>
        <w:numPr>
          <w:ilvl w:val="0"/>
          <w:numId w:val="1"/>
        </w:numPr>
        <w:bidi/>
        <w:spacing w:after="60"/>
        <w:jc w:val="both"/>
      </w:pPr>
      <w:r>
        <w:rPr>
          <w:rFonts w:ascii="Calibri" w:hAnsi="Calibri" w:cs="Arial"/>
          <w:rtl/>
          <w:sz w:val="24"/>
          <w:szCs w:val="24"/>
        </w:rPr>
        <w:t xml:space="preserve">التعريف بالشركة والهيكل التنظيمي وساعات العمل وقواعد العمل الإضافي والأجور وكشوف الرواتب واستحقاقات الإجازات،</w:t>
      </w:r>
    </w:p>
    <w:p>
      <w:pPr>
        <w:pStyle w:val="ListeParagraf"/>
        <w:numPr>
          <w:ilvl w:val="0"/>
          <w:numId w:val="1"/>
        </w:numPr>
        <w:bidi/>
        <w:spacing w:after="60"/>
        <w:jc w:val="both"/>
      </w:pPr>
      <w:r>
        <w:rPr>
          <w:rFonts w:ascii="Calibri" w:hAnsi="Calibri" w:cs="Arial"/>
          <w:rtl/>
          <w:sz w:val="24"/>
          <w:szCs w:val="24"/>
        </w:rPr>
        <w:t xml:space="preserve">عقد العمل: تُسلم نسخة موقعة للموظف، ويؤكد كتابيًا أن الشروط قد شُرحت له،</w:t>
      </w:r>
    </w:p>
    <w:p>
      <w:pPr>
        <w:pStyle w:val="ListeParagraf"/>
        <w:numPr>
          <w:ilvl w:val="0"/>
          <w:numId w:val="1"/>
        </w:numPr>
        <w:bidi/>
        <w:spacing w:after="60"/>
        <w:jc w:val="both"/>
      </w:pPr>
      <w:r>
        <w:rPr>
          <w:rFonts w:ascii="Calibri" w:hAnsi="Calibri" w:cs="Arial"/>
          <w:rtl/>
          <w:sz w:val="24"/>
          <w:szCs w:val="24"/>
        </w:rPr>
        <w:t xml:space="preserve">حقوق العمال: حرية تكوين الجمعيات وعدم التمييز ومكافحة التحرش والقواعد التأديبية وآلية التظلم والخط الساخن،</w:t>
      </w:r>
    </w:p>
    <w:p>
      <w:pPr>
        <w:pStyle w:val="ListeParagraf"/>
        <w:numPr>
          <w:ilvl w:val="0"/>
          <w:numId w:val="1"/>
        </w:numPr>
        <w:bidi/>
        <w:spacing w:after="60"/>
        <w:jc w:val="both"/>
      </w:pPr>
      <w:r>
        <w:rPr>
          <w:rFonts w:ascii="Calibri" w:hAnsi="Calibri" w:cs="Arial"/>
          <w:rtl/>
          <w:sz w:val="24"/>
          <w:szCs w:val="24"/>
        </w:rPr>
        <w:t xml:space="preserve">مدونات سلوك العملاء وقواعد مكافحة الرشوة والسرية.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التدريب التعريفي على السلامة والصحة المهنية والحريق والبيئة</w:t>
      </w:r>
    </w:p>
    <w:p>
      <w:pPr>
        <w:pStyle w:val="ListeParagraf"/>
        <w:bidi/>
        <w:spacing w:after="80"/>
        <w:ind w:left="0" w:right="709"/>
        <w:jc w:val="both"/>
      </w:pPr>
      <w:r>
        <w:rPr>
          <w:rFonts w:ascii="Calibri" w:hAnsi="Calibri" w:cs="Arial"/>
          <w:rtl/>
          <w:sz w:val="24"/>
          <w:szCs w:val="24"/>
        </w:rPr>
        <w:t xml:space="preserve">3.1. قبل دخول منطقة الإنتاج يشرح أخصائي السلامة والصحة المهنية مخاطر مكان العمل وقواعد السلامة واستخدام معدات الحماية الشخصية والإسعافات الأولية والوقاية من الحريق ومخارج الطوارئ ونقاط التجمع.</w:t>
      </w:r>
    </w:p>
    <w:p>
      <w:pPr>
        <w:pStyle w:val="ListeParagraf"/>
        <w:bidi/>
        <w:spacing w:after="80"/>
        <w:ind w:left="0" w:right="709"/>
        <w:jc w:val="both"/>
      </w:pPr>
      <w:r>
        <w:rPr>
          <w:rFonts w:ascii="Calibri" w:hAnsi="Calibri" w:cs="Arial"/>
          <w:rtl/>
          <w:sz w:val="24"/>
          <w:szCs w:val="24"/>
        </w:rPr>
        <w:t xml:space="preserve">3.2. يُشرح الإبلاغ عن مخاطر المواد الكيميائية (ملصقات GHS وصحائف بيانات السلامة) وفرز النفايات وترشيد الطاقة والمياه.</w:t>
      </w:r>
    </w:p>
    <w:p>
      <w:pPr>
        <w:pStyle w:val="ListeParagraf"/>
        <w:bidi/>
        <w:spacing w:after="80"/>
        <w:ind w:left="0" w:right="709"/>
        <w:jc w:val="both"/>
      </w:pPr>
      <w:r>
        <w:rPr>
          <w:rFonts w:ascii="Calibri" w:hAnsi="Calibri" w:cs="Arial"/>
          <w:rtl/>
          <w:sz w:val="24"/>
          <w:szCs w:val="24"/>
        </w:rPr>
        <w:t xml:space="preserve">3.3. تُبلغ الموظفات الحوامل والمرضعات بإجراءات الحماية الواردة في EMS.İK.PRO.01.03.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التدريب الخاص بالوظيفة</w:t>
      </w:r>
    </w:p>
    <w:p>
      <w:pPr>
        <w:pStyle w:val="ListeParagraf"/>
        <w:bidi/>
        <w:spacing w:after="80"/>
        <w:ind w:left="0" w:right="709"/>
        <w:jc w:val="both"/>
      </w:pPr>
      <w:r>
        <w:rPr>
          <w:rFonts w:ascii="Calibri" w:hAnsi="Calibri" w:cs="Arial"/>
          <w:rtl/>
          <w:sz w:val="24"/>
          <w:szCs w:val="24"/>
        </w:rPr>
        <w:t xml:space="preserve">4.1. يشرح المشرف تعليمات العمل وسلامة الآلات ومعايير الجودة ومراقبة الإبر والأدوات الحادة وقواعد المناطق الحساسة الخاصة بالوظيفة.</w:t>
      </w:r>
    </w:p>
    <w:p>
      <w:pPr>
        <w:pStyle w:val="ListeParagraf"/>
        <w:bidi/>
        <w:spacing w:after="80"/>
        <w:ind w:left="0" w:right="709"/>
        <w:jc w:val="both"/>
      </w:pPr>
      <w:r>
        <w:rPr>
          <w:rFonts w:ascii="Calibri" w:hAnsi="Calibri" w:cs="Arial"/>
          <w:rtl/>
          <w:sz w:val="24"/>
          <w:szCs w:val="24"/>
        </w:rPr>
        <w:t xml:space="preserve">4.2. يعمل الموظف الجديد تحت إشراف الموجه حتى يؤكد المشرف قدرته على العمل باستقلالية.</w:t>
      </w:r>
    </w:p>
    <w:p>
      <w:pPr>
        <w:pStyle w:val="ListeParagraf"/>
        <w:bidi/>
        <w:spacing w:after="80"/>
        <w:ind w:left="0" w:right="709"/>
        <w:jc w:val="both"/>
      </w:pPr>
      <w:r>
        <w:rPr>
          <w:rFonts w:ascii="Calibri" w:hAnsi="Calibri" w:cs="Arial"/>
          <w:rtl/>
          <w:sz w:val="24"/>
          <w:szCs w:val="24"/>
        </w:rPr>
        <w:t xml:space="preserve">4.3. لا يُكلف الموظفون الجدد بمهام خطرة (مثل التعامل مع المواد الكيميائية وقيادة الرافعات الشوكية والأعمال الكهربائية) قبل إتمام التدريب والتفويض المطلوبين.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التقييم والإتمام</w:t>
      </w:r>
    </w:p>
    <w:p>
      <w:pPr>
        <w:pStyle w:val="ListeParagraf"/>
        <w:bidi/>
        <w:spacing w:after="80"/>
        <w:ind w:left="0" w:right="709"/>
        <w:jc w:val="both"/>
      </w:pPr>
      <w:r>
        <w:rPr>
          <w:rFonts w:ascii="Calibri" w:hAnsi="Calibri" w:cs="Arial"/>
          <w:rtl/>
          <w:sz w:val="24"/>
          <w:szCs w:val="24"/>
        </w:rPr>
        <w:t xml:space="preserve">5.1. يوقع المدرب والموظف على كل موضوع من موضوعات التدريب التعريفي في قائمة التدريب التعريفي.</w:t>
      </w:r>
    </w:p>
    <w:p>
      <w:pPr>
        <w:pStyle w:val="ListeParagraf"/>
        <w:bidi/>
        <w:spacing w:after="80"/>
        <w:ind w:left="0" w:right="709"/>
        <w:jc w:val="both"/>
      </w:pPr>
      <w:r>
        <w:rPr>
          <w:rFonts w:ascii="Calibri" w:hAnsi="Calibri" w:cs="Arial"/>
          <w:rtl/>
          <w:sz w:val="24"/>
          <w:szCs w:val="24"/>
        </w:rPr>
        <w:t xml:space="preserve">5.2. في نهاية الشهر الأول يقيّم المشرف تكيف الموظف ومهاراته، ويُخطط لتدريب إضافي عند الحاجة.</w:t>
      </w:r>
    </w:p>
    <w:p>
      <w:pPr>
        <w:pStyle w:val="ListeParagraf"/>
        <w:bidi/>
        <w:spacing w:after="80"/>
        <w:ind w:left="0" w:right="709"/>
        <w:jc w:val="both"/>
      </w:pPr>
      <w:r>
        <w:rPr>
          <w:rFonts w:ascii="Calibri" w:hAnsi="Calibri" w:cs="Arial"/>
          <w:rtl/>
          <w:sz w:val="24"/>
          <w:szCs w:val="24"/>
        </w:rPr>
        <w:t xml:space="preserve">5.3. تُحفظ القائمة المكتملة في الملف الشخصي للموظف، ويُضاف الموظف إلى مصفوفة المهارات.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تتابع الموارد البشرية المؤشرات التالية كل ربع سنة:</w:t>
      </w:r>
    </w:p>
    <w:p>
      <w:pPr>
        <w:pStyle w:val="ListeParagraf"/>
        <w:numPr>
          <w:ilvl w:val="0"/>
          <w:numId w:val="1"/>
        </w:numPr>
        <w:bidi/>
        <w:spacing w:after="60"/>
        <w:jc w:val="both"/>
      </w:pPr>
      <w:r>
        <w:rPr>
          <w:rFonts w:ascii="Calibri" w:hAnsi="Calibri" w:cs="Arial"/>
          <w:rtl/>
          <w:sz w:val="24"/>
          <w:szCs w:val="24"/>
        </w:rPr>
        <w:t xml:space="preserve">نسبة الموظفين الجدد الذين أتموا التدريب التعريفي قبل بدء العمل (الهدف 100%)،</w:t>
      </w:r>
    </w:p>
    <w:p>
      <w:pPr>
        <w:pStyle w:val="ListeParagraf"/>
        <w:numPr>
          <w:ilvl w:val="0"/>
          <w:numId w:val="1"/>
        </w:numPr>
        <w:bidi/>
        <w:spacing w:after="60"/>
        <w:jc w:val="both"/>
      </w:pPr>
      <w:r>
        <w:rPr>
          <w:rFonts w:ascii="Calibri" w:hAnsi="Calibri" w:cs="Arial"/>
          <w:rtl/>
          <w:sz w:val="24"/>
          <w:szCs w:val="24"/>
        </w:rPr>
        <w:t xml:space="preserve">معدل ترك العمل بين الموظفين الجدد خلال الأشهر الثلاثة الأولى،</w:t>
      </w:r>
    </w:p>
    <w:p>
      <w:pPr>
        <w:pStyle w:val="ListeParagraf"/>
        <w:numPr>
          <w:ilvl w:val="0"/>
          <w:numId w:val="1"/>
        </w:numPr>
        <w:bidi/>
        <w:spacing w:after="60"/>
        <w:jc w:val="both"/>
      </w:pPr>
      <w:r>
        <w:rPr>
          <w:rFonts w:ascii="Calibri" w:hAnsi="Calibri" w:cs="Arial"/>
          <w:rtl/>
          <w:sz w:val="24"/>
          <w:szCs w:val="24"/>
        </w:rPr>
        <w:t xml:space="preserve">عدد الحوادث التي يتعرض لها موظفون تقل مدة خدمتهم عن 6 أشهر.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التدريب التعريفي للموظفين الجدد</w:t>
      </w:r>
    </w:p>
    <w:p>
      <w:pPr>
        <w:pStyle w:val="ListeParagraf"/>
        <w:numPr>
          <w:ilvl w:val="0"/>
          <w:numId w:val="1"/>
        </w:numPr>
        <w:bidi/>
        <w:spacing w:after="60"/>
        <w:jc w:val="both"/>
      </w:pPr>
      <w:r>
        <w:rPr>
          <w:rFonts w:ascii="Calibri" w:hAnsi="Calibri" w:cs="Arial"/>
          <w:rtl/>
          <w:sz w:val="24"/>
          <w:szCs w:val="24"/>
        </w:rPr>
        <w:t xml:space="preserve">عقد العمل والملف الشخصي</w:t>
      </w:r>
    </w:p>
    <w:p>
      <w:pPr>
        <w:pStyle w:val="ListeParagraf"/>
        <w:numPr>
          <w:ilvl w:val="0"/>
          <w:numId w:val="1"/>
        </w:numPr>
        <w:bidi/>
        <w:spacing w:after="60"/>
        <w:jc w:val="both"/>
      </w:pPr>
      <w:r>
        <w:rPr>
          <w:rFonts w:ascii="Calibri" w:hAnsi="Calibri" w:cs="Arial"/>
          <w:rtl/>
          <w:sz w:val="24"/>
          <w:szCs w:val="24"/>
        </w:rPr>
        <w:t xml:space="preserve">سجل صرف معدات الحماية الشخصية</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numPr>
          <w:ilvl w:val="0"/>
          <w:numId w:val="1"/>
        </w:numPr>
        <w:bidi/>
        <w:spacing w:after="60"/>
        <w:jc w:val="both"/>
      </w:pPr>
      <w:r>
        <w:rPr>
          <w:rFonts w:ascii="Calibri" w:hAnsi="Calibri" w:cs="Arial"/>
          <w:rtl/>
          <w:sz w:val="24"/>
          <w:szCs w:val="24"/>
        </w:rPr>
        <w:t xml:space="preserve">EMS.EG.PRO.12.01. إجراء تخطيط التدريب وتقييم فعاليته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يقدم الموظفون الجدد آراءهم حول التدريب التعريفي من خلال استبيان قصير في نهاية الشهر الأول. ويُراجع هذا الإجراء سنويًا من قبل مدير الموارد البشرية ويُعدل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NEW EMPLOYEE ORIENTATION PROCEDURE</w:t>
          </w:r>
        </w:p>
        <w:p>
          <w:pPr>
            <w:pStyle w:val="GvdeMetni2"/>
            <w:bidi/>
            <w:spacing w:line="276" w:lineRule="auto"/>
            <w:jc w:val="center"/>
          </w:pPr>
          <w:r>
            <w:rPr>
              <w:rFonts w:asciiTheme="minorHAnsi" w:hAnsiTheme="minorHAnsi" w:cs="Arial"/>
              <w:b/>
              <w:bCs/>
              <w:color w:val="000000" w:themeColor="text1"/>
              <w:sz w:val="22"/>
              <w:szCs w:val="22"/>
              <w:rtl/>
            </w:rPr>
            <w:t>إجراء التدريب التعريفي للموظفين الجدد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EMS.EG.PRO.12.02.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EMS.EG.PRO.12.02. NEW EMPLOYEE ORIENTATION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