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GRS/RCS certified materials are received, verified, identified, segregated, processed and reconciled through mass balance at Eroglu Knitting (EMS), in order to protect the integrity of certified products and ensure full traceability.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certified recycled yarns, fabrics and accessories from receipt at the warehouse through knitting, dyeing and finishing, cutting, sewing, printing, embroidery and packing, including operations carried out by certified subcontractors.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GRS/RCS Coordinator:</w:t>
      </w:r>
      <w:r>
        <w:rPr>
          <w:rFonts w:ascii="Calibri" w:hAnsi="Calibri" w:cs="Arial"/>
          <w:sz w:val="24"/>
          <w:szCs w:val="24"/>
        </w:rPr>
        <w:t xml:space="preserve"> Verifies supplier certificates and incoming transaction certificates, keeps the mass balance records and conducts internal checks.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Receives, labels and stores certified material in the designated area and records all movements.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Opens separate work orders for certified orders and informs all departments.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Keep certified material segregated during production and record input, output and waste quantities.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Certified Material:</w:t>
      </w:r>
      <w:r>
        <w:rPr>
          <w:rFonts w:ascii="Calibri" w:hAnsi="Calibri" w:cs="Arial"/>
          <w:sz w:val="24"/>
          <w:szCs w:val="24"/>
        </w:rPr>
        <w:t xml:space="preserve"> Material accompanied by a valid transaction certificate from a GRS or RCS certified supplier.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Conversion Factor:</w:t>
      </w:r>
      <w:r>
        <w:rPr>
          <w:rFonts w:ascii="Calibri" w:hAnsi="Calibri" w:cs="Arial"/>
          <w:sz w:val="24"/>
          <w:szCs w:val="24"/>
        </w:rPr>
        <w:t xml:space="preserve"> The ratio between output and input quantity for a process step, determined from actual production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Tag:</w:t>
      </w:r>
      <w:r>
        <w:rPr>
          <w:rFonts w:ascii="Calibri" w:hAnsi="Calibri" w:cs="Arial"/>
          <w:sz w:val="24"/>
          <w:szCs w:val="24"/>
        </w:rPr>
        <w:t xml:space="preserve"> The identification label used by EMS to mark certified material and work in progress.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SUPPLIER AND CERTIFICATE VERIFICATION</w:t>
      </w:r>
    </w:p>
    <w:p>
      <w:pPr>
        <w:pStyle w:val="ListeParagraf"/>
        <w:spacing w:after="80"/>
        <w:ind w:left="709" w:right="0"/>
        <w:jc w:val="both"/>
      </w:pPr>
      <w:r>
        <w:rPr>
          <w:rFonts w:ascii="Calibri" w:hAnsi="Calibri" w:cs="Arial"/>
          <w:sz w:val="24"/>
          <w:szCs w:val="24"/>
        </w:rPr>
        <w:t xml:space="preserve">1.1. Before placing an order, Purchasing and the GRS/RCS Coordinator check that the supplier holds a valid GRS or RCS scope certificate covering the product and process.</w:t>
      </w:r>
    </w:p>
    <w:p>
      <w:pPr>
        <w:pStyle w:val="ListeParagraf"/>
        <w:spacing w:after="80"/>
        <w:ind w:left="709" w:right="0"/>
        <w:jc w:val="both"/>
      </w:pPr>
      <w:r>
        <w:rPr>
          <w:rFonts w:ascii="Calibri" w:hAnsi="Calibri" w:cs="Arial"/>
          <w:sz w:val="24"/>
          <w:szCs w:val="24"/>
        </w:rPr>
        <w:t xml:space="preserve">1.2. Certificates are verified in the official certificate database and a copy is kept in the supplier file.</w:t>
      </w:r>
    </w:p>
    <w:p>
      <w:pPr>
        <w:pStyle w:val="ListeParagraf"/>
        <w:spacing w:after="80"/>
        <w:ind w:left="709" w:right="0"/>
        <w:jc w:val="both"/>
      </w:pPr>
      <w:r>
        <w:rPr>
          <w:rFonts w:ascii="Calibri" w:hAnsi="Calibri" w:cs="Arial"/>
          <w:sz w:val="24"/>
          <w:szCs w:val="24"/>
        </w:rPr>
        <w:t xml:space="preserve">1.3. Certified subcontractors are approved in the same way before any certified work is given to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RECEIPT OF MATERIAL</w:t>
      </w:r>
    </w:p>
    <w:p>
      <w:pPr>
        <w:pStyle w:val="ListeParagraf"/>
        <w:spacing w:after="80"/>
        <w:ind w:left="709" w:right="0"/>
        <w:jc w:val="both"/>
      </w:pPr>
      <w:r>
        <w:rPr>
          <w:rFonts w:ascii="Calibri" w:hAnsi="Calibri" w:cs="Arial"/>
          <w:sz w:val="24"/>
          <w:szCs w:val="24"/>
        </w:rPr>
        <w:t xml:space="preserve">2.1. At receipt, the Warehouse Supervisor checks the delivery note, invoice, packing list and labels against the purchase order.</w:t>
      </w:r>
    </w:p>
    <w:p>
      <w:pPr>
        <w:pStyle w:val="ListeParagraf"/>
        <w:spacing w:after="80"/>
        <w:ind w:left="709" w:right="0"/>
        <w:jc w:val="both"/>
      </w:pPr>
      <w:r>
        <w:rPr>
          <w:rFonts w:ascii="Calibri" w:hAnsi="Calibri" w:cs="Arial"/>
          <w:sz w:val="24"/>
          <w:szCs w:val="24"/>
        </w:rPr>
        <w:t xml:space="preserve">2.2. The GRS/RCS Coordinator checks the following before the material is accepted as certified:</w:t>
      </w:r>
    </w:p>
    <w:p>
      <w:pPr>
        <w:pStyle w:val="ListeParagraf"/>
        <w:numPr>
          <w:ilvl w:val="0"/>
          <w:numId w:val="1"/>
        </w:numPr>
        <w:spacing w:after="60"/>
        <w:jc w:val="both"/>
      </w:pPr>
      <w:r>
        <w:rPr>
          <w:rFonts w:ascii="Calibri" w:hAnsi="Calibri" w:cs="Arial"/>
          <w:sz w:val="24"/>
          <w:szCs w:val="24"/>
        </w:rPr>
        <w:t xml:space="preserve">Supplier name, certificate number and validity,</w:t>
      </w:r>
    </w:p>
    <w:p>
      <w:pPr>
        <w:pStyle w:val="ListeParagraf"/>
        <w:numPr>
          <w:ilvl w:val="0"/>
          <w:numId w:val="1"/>
        </w:numPr>
        <w:spacing w:after="60"/>
        <w:jc w:val="both"/>
      </w:pPr>
      <w:r>
        <w:rPr>
          <w:rFonts w:ascii="Calibri" w:hAnsi="Calibri" w:cs="Arial"/>
          <w:sz w:val="24"/>
          <w:szCs w:val="24"/>
        </w:rPr>
        <w:t xml:space="preserve">Material description, recycled content percentage and quantity,</w:t>
      </w:r>
    </w:p>
    <w:p>
      <w:pPr>
        <w:pStyle w:val="ListeParagraf"/>
        <w:numPr>
          <w:ilvl w:val="0"/>
          <w:numId w:val="1"/>
        </w:numPr>
        <w:spacing w:after="60"/>
        <w:jc w:val="both"/>
      </w:pPr>
      <w:r>
        <w:rPr>
          <w:rFonts w:ascii="Calibri" w:hAnsi="Calibri" w:cs="Arial"/>
          <w:sz w:val="24"/>
          <w:szCs w:val="24"/>
        </w:rPr>
        <w:t xml:space="preserve">The transaction certificate, or written confirmation from the supplier that it has been requested.</w:t>
      </w:r>
    </w:p>
    <w:p>
      <w:pPr>
        <w:pStyle w:val="ListeParagraf"/>
        <w:spacing w:after="80"/>
        <w:ind w:left="709" w:right="0"/>
        <w:jc w:val="both"/>
      </w:pPr>
      <w:r>
        <w:rPr>
          <w:rFonts w:ascii="Calibri" w:hAnsi="Calibri" w:cs="Arial"/>
          <w:sz w:val="24"/>
          <w:szCs w:val="24"/>
        </w:rPr>
        <w:t xml:space="preserve">2.3. If any information does not match, the material is kept in quarantine as non-certified until the issue is resolved.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IDENTIFICATION AND SEGREGATION</w:t>
      </w:r>
    </w:p>
    <w:p>
      <w:pPr>
        <w:pStyle w:val="ListeParagraf"/>
        <w:spacing w:after="80"/>
        <w:ind w:left="709" w:right="0"/>
        <w:jc w:val="both"/>
      </w:pPr>
      <w:r>
        <w:rPr>
          <w:rFonts w:ascii="Calibri" w:hAnsi="Calibri" w:cs="Arial"/>
          <w:sz w:val="24"/>
          <w:szCs w:val="24"/>
        </w:rPr>
        <w:t xml:space="preserve">3.1. Accepted certified material is marked with a green tag showing the order number, lot number, standard and recycled content.</w:t>
      </w:r>
    </w:p>
    <w:p>
      <w:pPr>
        <w:pStyle w:val="ListeParagraf"/>
        <w:spacing w:after="80"/>
        <w:ind w:left="709" w:right="0"/>
        <w:jc w:val="both"/>
      </w:pPr>
      <w:r>
        <w:rPr>
          <w:rFonts w:ascii="Calibri" w:hAnsi="Calibri" w:cs="Arial"/>
          <w:sz w:val="24"/>
          <w:szCs w:val="24"/>
        </w:rPr>
        <w:t xml:space="preserve">3.2. Certified material is stored in a separate, clearly marked area of the warehouse, away from non-certified material.</w:t>
      </w:r>
    </w:p>
    <w:p>
      <w:pPr>
        <w:pStyle w:val="ListeParagraf"/>
        <w:spacing w:after="80"/>
        <w:ind w:left="709" w:right="0"/>
        <w:jc w:val="both"/>
      </w:pPr>
      <w:r>
        <w:rPr>
          <w:rFonts w:ascii="Calibri" w:hAnsi="Calibri" w:cs="Arial"/>
          <w:sz w:val="24"/>
          <w:szCs w:val="24"/>
        </w:rPr>
        <w:t xml:space="preserve">3.3. In production, certified lots are processed in separate batches; machines are cleaned before certified production starts.</w:t>
      </w:r>
    </w:p>
    <w:p>
      <w:pPr>
        <w:pStyle w:val="ListeParagraf"/>
        <w:spacing w:after="80"/>
        <w:ind w:left="709" w:right="0"/>
        <w:jc w:val="both"/>
      </w:pPr>
      <w:r>
        <w:rPr>
          <w:rFonts w:ascii="Calibri" w:hAnsi="Calibri" w:cs="Arial"/>
          <w:sz w:val="24"/>
          <w:szCs w:val="24"/>
        </w:rPr>
        <w:t xml:space="preserve">3.4. Work in progress, cut panels and finished goods keep the green tag and lot number at every stage.</w:t>
      </w:r>
    </w:p>
    <w:p>
      <w:pPr>
        <w:pStyle w:val="ListeParagraf"/>
        <w:spacing w:after="80"/>
        <w:ind w:left="709" w:right="0"/>
        <w:jc w:val="both"/>
      </w:pPr>
      <w:r>
        <w:rPr>
          <w:rFonts w:ascii="Calibri" w:hAnsi="Calibri" w:cs="Arial"/>
          <w:sz w:val="24"/>
          <w:szCs w:val="24"/>
        </w:rPr>
        <w:t xml:space="preserve">3.5. Any mixing or loss of identity is reported to the GRS/RCS Coordinator; the affected material is downgraded to non-certified.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MASS BALANCE</w:t>
      </w:r>
    </w:p>
    <w:p>
      <w:pPr>
        <w:pStyle w:val="ListeParagraf"/>
        <w:spacing w:after="80"/>
        <w:ind w:left="709" w:right="0"/>
        <w:jc w:val="both"/>
      </w:pPr>
      <w:r>
        <w:rPr>
          <w:rFonts w:ascii="Calibri" w:hAnsi="Calibri" w:cs="Arial"/>
          <w:sz w:val="24"/>
          <w:szCs w:val="24"/>
        </w:rPr>
        <w:t xml:space="preserve">4.1. Each department records certified input, output and waste quantities per work order.</w:t>
      </w:r>
    </w:p>
    <w:p>
      <w:pPr>
        <w:pStyle w:val="ListeParagraf"/>
        <w:spacing w:after="80"/>
        <w:ind w:left="709" w:right="0"/>
        <w:jc w:val="both"/>
      </w:pPr>
      <w:r>
        <w:rPr>
          <w:rFonts w:ascii="Calibri" w:hAnsi="Calibri" w:cs="Arial"/>
          <w:sz w:val="24"/>
          <w:szCs w:val="24"/>
        </w:rPr>
        <w:t xml:space="preserve">4.2. Conversion factors are calculated for each process step and reviewed at least once a year.</w:t>
      </w:r>
    </w:p>
    <w:p>
      <w:pPr>
        <w:pStyle w:val="ListeParagraf"/>
        <w:spacing w:after="80"/>
        <w:ind w:left="709" w:right="0"/>
        <w:jc w:val="both"/>
      </w:pPr>
      <w:r>
        <w:rPr>
          <w:rFonts w:ascii="Calibri" w:hAnsi="Calibri" w:cs="Arial"/>
          <w:sz w:val="24"/>
          <w:szCs w:val="24"/>
        </w:rPr>
        <w:t xml:space="preserve">4.3. The GRS/RCS Coordinator prepares a mass balance for each certified order before shipment and a full reconciliation every quarter.</w:t>
      </w:r>
    </w:p>
    <w:p>
      <w:pPr>
        <w:pStyle w:val="ListeParagraf"/>
        <w:spacing w:after="80"/>
        <w:ind w:left="709" w:right="0"/>
        <w:jc w:val="both"/>
      </w:pPr>
      <w:r>
        <w:rPr>
          <w:rFonts w:ascii="Calibri" w:hAnsi="Calibri" w:cs="Arial"/>
          <w:sz w:val="24"/>
          <w:szCs w:val="24"/>
        </w:rPr>
        <w:t xml:space="preserve">4.4. The certified output sold can never exceed the certified input multiplied by the conversion factors; any difference is investigated.</w:t>
      </w:r>
    </w:p>
    <w:p>
      <w:pPr>
        <w:pStyle w:val="ListeParagraf"/>
        <w:spacing w:after="80"/>
        <w:ind w:left="709" w:right="0"/>
        <w:jc w:val="both"/>
      </w:pPr>
      <w:r>
        <w:rPr>
          <w:rFonts w:ascii="Calibri" w:hAnsi="Calibri" w:cs="Arial"/>
          <w:sz w:val="24"/>
          <w:szCs w:val="24"/>
        </w:rPr>
        <w:t xml:space="preserve">4.5. Certified waste is weighed, recorded and disposed of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GRS/RCS Coordinator monitors the following indicators and reports them in the management review:</w:t>
      </w:r>
    </w:p>
    <w:p>
      <w:pPr>
        <w:pStyle w:val="ListeParagraf"/>
        <w:numPr>
          <w:ilvl w:val="0"/>
          <w:numId w:val="1"/>
        </w:numPr>
        <w:spacing w:after="60"/>
        <w:jc w:val="both"/>
      </w:pPr>
      <w:r>
        <w:rPr>
          <w:rFonts w:ascii="Calibri" w:hAnsi="Calibri" w:cs="Arial"/>
          <w:sz w:val="24"/>
          <w:szCs w:val="24"/>
        </w:rPr>
        <w:t xml:space="preserve">Mass balance difference per order (%),</w:t>
      </w:r>
    </w:p>
    <w:p>
      <w:pPr>
        <w:pStyle w:val="ListeParagraf"/>
        <w:numPr>
          <w:ilvl w:val="0"/>
          <w:numId w:val="1"/>
        </w:numPr>
        <w:spacing w:after="60"/>
        <w:jc w:val="both"/>
      </w:pPr>
      <w:r>
        <w:rPr>
          <w:rFonts w:ascii="Calibri" w:hAnsi="Calibri" w:cs="Arial"/>
          <w:sz w:val="24"/>
          <w:szCs w:val="24"/>
        </w:rPr>
        <w:t xml:space="preserve">Number of segregation or identification nonconformities,</w:t>
      </w:r>
    </w:p>
    <w:p>
      <w:pPr>
        <w:pStyle w:val="ListeParagraf"/>
        <w:numPr>
          <w:ilvl w:val="0"/>
          <w:numId w:val="1"/>
        </w:numPr>
        <w:spacing w:after="60"/>
        <w:jc w:val="both"/>
      </w:pPr>
      <w:r>
        <w:rPr>
          <w:rFonts w:ascii="Calibri" w:hAnsi="Calibri" w:cs="Arial"/>
          <w:sz w:val="24"/>
          <w:szCs w:val="24"/>
        </w:rPr>
        <w:t xml:space="preserve">Percentage of incoming certified lots received with a valid transaction certificate.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Approved Certified Supplier List and Scope Certificates</w:t>
      </w:r>
    </w:p>
    <w:p>
      <w:pPr>
        <w:pStyle w:val="ListeParagraf"/>
        <w:numPr>
          <w:ilvl w:val="0"/>
          <w:numId w:val="1"/>
        </w:numPr>
        <w:spacing w:after="60"/>
        <w:jc w:val="both"/>
      </w:pPr>
      <w:r>
        <w:rPr>
          <w:rFonts w:ascii="Calibri" w:hAnsi="Calibri" w:cs="Arial"/>
          <w:sz w:val="24"/>
          <w:szCs w:val="24"/>
        </w:rPr>
        <w:t xml:space="preserve">Incoming Transaction Certificates</w:t>
      </w:r>
    </w:p>
    <w:p>
      <w:pPr>
        <w:pStyle w:val="ListeParagraf"/>
        <w:numPr>
          <w:ilvl w:val="0"/>
          <w:numId w:val="1"/>
        </w:numPr>
        <w:spacing w:after="60"/>
        <w:jc w:val="both"/>
      </w:pPr>
      <w:r>
        <w:rPr>
          <w:rFonts w:ascii="Calibri" w:hAnsi="Calibri" w:cs="Arial"/>
          <w:sz w:val="24"/>
          <w:szCs w:val="24"/>
        </w:rPr>
        <w:t xml:space="preserve">Goods Receipt and Stock Movement Records</w:t>
      </w:r>
    </w:p>
    <w:p>
      <w:pPr>
        <w:pStyle w:val="ListeParagraf"/>
        <w:numPr>
          <w:ilvl w:val="0"/>
          <w:numId w:val="1"/>
        </w:numPr>
        <w:spacing w:after="60"/>
        <w:jc w:val="both"/>
      </w:pPr>
      <w:r>
        <w:rPr>
          <w:rFonts w:ascii="Calibri" w:hAnsi="Calibri" w:cs="Arial"/>
          <w:sz w:val="24"/>
          <w:szCs w:val="24"/>
        </w:rPr>
        <w:t xml:space="preserve">Production Records and Mass Balance Sheets</w:t>
      </w:r>
    </w:p>
    <w:p>
      <w:pPr>
        <w:pStyle w:val="ListeParagraf"/>
        <w:numPr>
          <w:ilvl w:val="0"/>
          <w:numId w:val="1"/>
        </w:numPr>
        <w:spacing w:after="60"/>
        <w:jc w:val="both"/>
      </w:pPr>
      <w:r>
        <w:rPr>
          <w:rFonts w:ascii="Calibri" w:hAnsi="Calibri" w:cs="Arial"/>
          <w:sz w:val="24"/>
          <w:szCs w:val="24"/>
        </w:rPr>
        <w:t xml:space="preserve">EMS.GR.PRO.14.02. Transaction Certificate and Labelling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GRS/RCS Coordinator, and after each certification audit. Audit findings and suggestions from departments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المواد المعتمدة وفق GRS/RCS والتحقق منها وتعريفها وفصلها ومعالجتها ومطابقتها من خلال توازن الكتلة في شركة إيروغلو للتريكو (EMS)، وذلك لحماية سلامة المنتجات المعتمدة وضمان إمكانية التتبع الكاملة.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الغزول والأقمشة والإكسسوارات المعاد تدويرها والمعتمدة، بدءًا من استلامها في المستودع مرورًا بالتريكو والصباغة والتجهيز والقص والخياطة والطباعة والتطريز والتعبئة، بما في ذلك العمليات التي ينفذها المقاولون من الباطن المعتمدون.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GRS/RCS:</w:t>
      </w:r>
      <w:r>
        <w:rPr>
          <w:rFonts w:ascii="Calibri" w:hAnsi="Calibri" w:cs="Arial"/>
          <w:rtl/>
          <w:sz w:val="24"/>
          <w:szCs w:val="24"/>
        </w:rPr>
        <w:t xml:space="preserve"> يتحقق من شهادات الموردين وشهادات المعاملات الواردة، ويحتفظ بسجلات توازن الكتلة، ويجري الفحوصات الداخلية.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المستودع:</w:t>
      </w:r>
      <w:r>
        <w:rPr>
          <w:rFonts w:ascii="Calibri" w:hAnsi="Calibri" w:cs="Arial"/>
          <w:rtl/>
          <w:sz w:val="24"/>
          <w:szCs w:val="24"/>
        </w:rPr>
        <w:t xml:space="preserve"> يستلم المواد المعتمدة ويضع عليها البطاقات ويخزنها في المنطقة المخصصة ويسجل جميع حركاتها.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يفتح أوامر عمل منفصلة للطلبيات المعتمدة ويبلغ جميع الأقسام.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يحافظون على فصل المواد المعتمدة أثناء الإنتاج ويسجلون كميات المدخلات والمخرجات والنفايات.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المعتمدة:</w:t>
      </w:r>
      <w:r>
        <w:rPr>
          <w:rFonts w:ascii="Calibri" w:hAnsi="Calibri" w:cs="Arial"/>
          <w:rtl/>
          <w:sz w:val="24"/>
          <w:szCs w:val="24"/>
        </w:rPr>
        <w:t xml:space="preserve"> مادة مصحوبة بشهادة معاملة سارية صادرة عن مورد معتمد وفق GRS أو RCS.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معامل التحويل:</w:t>
      </w:r>
      <w:r>
        <w:rPr>
          <w:rFonts w:ascii="Calibri" w:hAnsi="Calibri" w:cs="Arial"/>
          <w:rtl/>
          <w:sz w:val="24"/>
          <w:szCs w:val="24"/>
        </w:rPr>
        <w:t xml:space="preserve"> النسبة بين كمية المخرجات وكمية المدخلات في مرحلة من مراحل العملية، وتُحدد من بيانات الإنتاج الفعلية.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البطاقة الخضراء:</w:t>
      </w:r>
      <w:r>
        <w:rPr>
          <w:rFonts w:ascii="Calibri" w:hAnsi="Calibri" w:cs="Arial"/>
          <w:rtl/>
          <w:sz w:val="24"/>
          <w:szCs w:val="24"/>
        </w:rPr>
        <w:t xml:space="preserve"> بطاقة التعريف التي تستخدمها EMS لتمييز المواد المعتمدة والإنتاج تحت التشغيل.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التحقق من المورد والشهادة</w:t>
      </w:r>
    </w:p>
    <w:p>
      <w:pPr>
        <w:pStyle w:val="ListeParagraf"/>
        <w:bidi/>
        <w:spacing w:after="80"/>
        <w:ind w:left="0" w:right="709"/>
        <w:jc w:val="both"/>
      </w:pPr>
      <w:r>
        <w:rPr>
          <w:rFonts w:ascii="Calibri" w:hAnsi="Calibri" w:cs="Arial"/>
          <w:rtl/>
          <w:sz w:val="24"/>
          <w:szCs w:val="24"/>
        </w:rPr>
        <w:t xml:space="preserve">1.1. قبل إصدار الطلبية يتحقق قسم المشتريات ومنسق GRS/RCS من أن المورد يحمل شهادة نطاق GRS أو RCS سارية تغطي المنتج والعملية.</w:t>
      </w:r>
    </w:p>
    <w:p>
      <w:pPr>
        <w:pStyle w:val="ListeParagraf"/>
        <w:bidi/>
        <w:spacing w:after="80"/>
        <w:ind w:left="0" w:right="709"/>
        <w:jc w:val="both"/>
      </w:pPr>
      <w:r>
        <w:rPr>
          <w:rFonts w:ascii="Calibri" w:hAnsi="Calibri" w:cs="Arial"/>
          <w:rtl/>
          <w:sz w:val="24"/>
          <w:szCs w:val="24"/>
        </w:rPr>
        <w:t xml:space="preserve">1.2. يتم التحقق من الشهادات في قاعدة بيانات الشهادات الرسمية، وتُحفظ نسخة منها في ملف المورد.</w:t>
      </w:r>
    </w:p>
    <w:p>
      <w:pPr>
        <w:pStyle w:val="ListeParagraf"/>
        <w:bidi/>
        <w:spacing w:after="80"/>
        <w:ind w:left="0" w:right="709"/>
        <w:jc w:val="both"/>
      </w:pPr>
      <w:r>
        <w:rPr>
          <w:rFonts w:ascii="Calibri" w:hAnsi="Calibri" w:cs="Arial"/>
          <w:rtl/>
          <w:sz w:val="24"/>
          <w:szCs w:val="24"/>
        </w:rPr>
        <w:t xml:space="preserve">1.3. يُعتمد المقاولون من الباطن المعتمدون بالطريقة نفسها قبل إسناد أي عمل معتمد إليهم.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استلام المواد</w:t>
      </w:r>
    </w:p>
    <w:p>
      <w:pPr>
        <w:pStyle w:val="ListeParagraf"/>
        <w:bidi/>
        <w:spacing w:after="80"/>
        <w:ind w:left="0" w:right="709"/>
        <w:jc w:val="both"/>
      </w:pPr>
      <w:r>
        <w:rPr>
          <w:rFonts w:ascii="Calibri" w:hAnsi="Calibri" w:cs="Arial"/>
          <w:rtl/>
          <w:sz w:val="24"/>
          <w:szCs w:val="24"/>
        </w:rPr>
        <w:t xml:space="preserve">2.1. عند الاستلام يطابق مشرف المستودع إذن التسليم والفاتورة وقائمة التعبئة والبطاقات مع أمر الشراء.</w:t>
      </w:r>
    </w:p>
    <w:p>
      <w:pPr>
        <w:pStyle w:val="ListeParagraf"/>
        <w:bidi/>
        <w:spacing w:after="80"/>
        <w:ind w:left="0" w:right="709"/>
        <w:jc w:val="both"/>
      </w:pPr>
      <w:r>
        <w:rPr>
          <w:rFonts w:ascii="Calibri" w:hAnsi="Calibri" w:cs="Arial"/>
          <w:rtl/>
          <w:sz w:val="24"/>
          <w:szCs w:val="24"/>
        </w:rPr>
        <w:t xml:space="preserve">2.2. يتحقق منسق GRS/RCS مما يلي قبل قبول المادة كمادة معتمدة:</w:t>
      </w:r>
    </w:p>
    <w:p>
      <w:pPr>
        <w:pStyle w:val="ListeParagraf"/>
        <w:numPr>
          <w:ilvl w:val="0"/>
          <w:numId w:val="1"/>
        </w:numPr>
        <w:bidi/>
        <w:spacing w:after="60"/>
        <w:jc w:val="both"/>
      </w:pPr>
      <w:r>
        <w:rPr>
          <w:rFonts w:ascii="Calibri" w:hAnsi="Calibri" w:cs="Arial"/>
          <w:rtl/>
          <w:sz w:val="24"/>
          <w:szCs w:val="24"/>
        </w:rPr>
        <w:t xml:space="preserve">اسم المورد ورقم الشهادة وصلاحيتها،</w:t>
      </w:r>
    </w:p>
    <w:p>
      <w:pPr>
        <w:pStyle w:val="ListeParagraf"/>
        <w:numPr>
          <w:ilvl w:val="0"/>
          <w:numId w:val="1"/>
        </w:numPr>
        <w:bidi/>
        <w:spacing w:after="60"/>
        <w:jc w:val="both"/>
      </w:pPr>
      <w:r>
        <w:rPr>
          <w:rFonts w:ascii="Calibri" w:hAnsi="Calibri" w:cs="Arial"/>
          <w:rtl/>
          <w:sz w:val="24"/>
          <w:szCs w:val="24"/>
        </w:rPr>
        <w:t xml:space="preserve">وصف المادة ونسبة المحتوى المعاد تدويره والكمية،</w:t>
      </w:r>
    </w:p>
    <w:p>
      <w:pPr>
        <w:pStyle w:val="ListeParagraf"/>
        <w:numPr>
          <w:ilvl w:val="0"/>
          <w:numId w:val="1"/>
        </w:numPr>
        <w:bidi/>
        <w:spacing w:after="60"/>
        <w:jc w:val="both"/>
      </w:pPr>
      <w:r>
        <w:rPr>
          <w:rFonts w:ascii="Calibri" w:hAnsi="Calibri" w:cs="Arial"/>
          <w:rtl/>
          <w:sz w:val="24"/>
          <w:szCs w:val="24"/>
        </w:rPr>
        <w:t xml:space="preserve">شهادة المعاملة، أو تأكيد كتابي من المورد بأنه قد طلبها.</w:t>
      </w:r>
    </w:p>
    <w:p>
      <w:pPr>
        <w:pStyle w:val="ListeParagraf"/>
        <w:bidi/>
        <w:spacing w:after="80"/>
        <w:ind w:left="0" w:right="709"/>
        <w:jc w:val="both"/>
      </w:pPr>
      <w:r>
        <w:rPr>
          <w:rFonts w:ascii="Calibri" w:hAnsi="Calibri" w:cs="Arial"/>
          <w:rtl/>
          <w:sz w:val="24"/>
          <w:szCs w:val="24"/>
        </w:rPr>
        <w:t xml:space="preserve">2.3. إذا لم تتطابق أي معلومة تُحفظ المادة في منطقة الحجر كمادة غير معتمدة إلى أن تُحل المشكلة.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التعريف والفصل</w:t>
      </w:r>
    </w:p>
    <w:p>
      <w:pPr>
        <w:pStyle w:val="ListeParagraf"/>
        <w:bidi/>
        <w:spacing w:after="80"/>
        <w:ind w:left="0" w:right="709"/>
        <w:jc w:val="both"/>
      </w:pPr>
      <w:r>
        <w:rPr>
          <w:rFonts w:ascii="Calibri" w:hAnsi="Calibri" w:cs="Arial"/>
          <w:rtl/>
          <w:sz w:val="24"/>
          <w:szCs w:val="24"/>
        </w:rPr>
        <w:t xml:space="preserve">3.1. تُميز المادة المعتمدة المقبولة ببطاقة خضراء تبين رقم الطلبية ورقم الدفعة والمعيار ونسبة المحتوى المعاد تدويره.</w:t>
      </w:r>
    </w:p>
    <w:p>
      <w:pPr>
        <w:pStyle w:val="ListeParagraf"/>
        <w:bidi/>
        <w:spacing w:after="80"/>
        <w:ind w:left="0" w:right="709"/>
        <w:jc w:val="both"/>
      </w:pPr>
      <w:r>
        <w:rPr>
          <w:rFonts w:ascii="Calibri" w:hAnsi="Calibri" w:cs="Arial"/>
          <w:rtl/>
          <w:sz w:val="24"/>
          <w:szCs w:val="24"/>
        </w:rPr>
        <w:t xml:space="preserve">3.2. تُخزن المادة المعتمدة في منطقة منفصلة ومحددة بوضوح في المستودع، بعيدًا عن المواد غير المعتمدة.</w:t>
      </w:r>
    </w:p>
    <w:p>
      <w:pPr>
        <w:pStyle w:val="ListeParagraf"/>
        <w:bidi/>
        <w:spacing w:after="80"/>
        <w:ind w:left="0" w:right="709"/>
        <w:jc w:val="both"/>
      </w:pPr>
      <w:r>
        <w:rPr>
          <w:rFonts w:ascii="Calibri" w:hAnsi="Calibri" w:cs="Arial"/>
          <w:rtl/>
          <w:sz w:val="24"/>
          <w:szCs w:val="24"/>
        </w:rPr>
        <w:t xml:space="preserve">3.3. في الإنتاج تُعالج الدفعات المعتمدة في تشغيلات منفصلة، وتُنظف الآلات قبل بدء الإنتاج المعتمد.</w:t>
      </w:r>
    </w:p>
    <w:p>
      <w:pPr>
        <w:pStyle w:val="ListeParagraf"/>
        <w:bidi/>
        <w:spacing w:after="80"/>
        <w:ind w:left="0" w:right="709"/>
        <w:jc w:val="both"/>
      </w:pPr>
      <w:r>
        <w:rPr>
          <w:rFonts w:ascii="Calibri" w:hAnsi="Calibri" w:cs="Arial"/>
          <w:rtl/>
          <w:sz w:val="24"/>
          <w:szCs w:val="24"/>
        </w:rPr>
        <w:t xml:space="preserve">3.4. يحتفظ الإنتاج تحت التشغيل والقطع المقصوصة والمنتجات النهائية بالبطاقة الخضراء ورقم الدفعة في كل مرحلة.</w:t>
      </w:r>
    </w:p>
    <w:p>
      <w:pPr>
        <w:pStyle w:val="ListeParagraf"/>
        <w:bidi/>
        <w:spacing w:after="80"/>
        <w:ind w:left="0" w:right="709"/>
        <w:jc w:val="both"/>
      </w:pPr>
      <w:r>
        <w:rPr>
          <w:rFonts w:ascii="Calibri" w:hAnsi="Calibri" w:cs="Arial"/>
          <w:rtl/>
          <w:sz w:val="24"/>
          <w:szCs w:val="24"/>
        </w:rPr>
        <w:t xml:space="preserve">3.5. يُبلغ منسق GRS/RCS عن أي خلط أو فقدان للهوية، وتُخفض المادة المتأثرة إلى مادة غير 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توازن الكتلة</w:t>
      </w:r>
    </w:p>
    <w:p>
      <w:pPr>
        <w:pStyle w:val="ListeParagraf"/>
        <w:bidi/>
        <w:spacing w:after="80"/>
        <w:ind w:left="0" w:right="709"/>
        <w:jc w:val="both"/>
      </w:pPr>
      <w:r>
        <w:rPr>
          <w:rFonts w:ascii="Calibri" w:hAnsi="Calibri" w:cs="Arial"/>
          <w:rtl/>
          <w:sz w:val="24"/>
          <w:szCs w:val="24"/>
        </w:rPr>
        <w:t xml:space="preserve">4.1. يسجل كل قسم كميات المدخلات والمخرجات والنفايات المعتمدة لكل أمر عمل.</w:t>
      </w:r>
    </w:p>
    <w:p>
      <w:pPr>
        <w:pStyle w:val="ListeParagraf"/>
        <w:bidi/>
        <w:spacing w:after="80"/>
        <w:ind w:left="0" w:right="709"/>
        <w:jc w:val="both"/>
      </w:pPr>
      <w:r>
        <w:rPr>
          <w:rFonts w:ascii="Calibri" w:hAnsi="Calibri" w:cs="Arial"/>
          <w:rtl/>
          <w:sz w:val="24"/>
          <w:szCs w:val="24"/>
        </w:rPr>
        <w:t xml:space="preserve">4.2. تُحسب معاملات التحويل لكل مرحلة من مراحل العملية وتُراجع مرة واحدة سنويًا على الأقل.</w:t>
      </w:r>
    </w:p>
    <w:p>
      <w:pPr>
        <w:pStyle w:val="ListeParagraf"/>
        <w:bidi/>
        <w:spacing w:after="80"/>
        <w:ind w:left="0" w:right="709"/>
        <w:jc w:val="both"/>
      </w:pPr>
      <w:r>
        <w:rPr>
          <w:rFonts w:ascii="Calibri" w:hAnsi="Calibri" w:cs="Arial"/>
          <w:rtl/>
          <w:sz w:val="24"/>
          <w:szCs w:val="24"/>
        </w:rPr>
        <w:t xml:space="preserve">4.3. يعد منسق GRS/RCS توازن كتلة لكل طلبية معتمدة قبل الشحن، ومطابقة كاملة كل ربع سنة.</w:t>
      </w:r>
    </w:p>
    <w:p>
      <w:pPr>
        <w:pStyle w:val="ListeParagraf"/>
        <w:bidi/>
        <w:spacing w:after="80"/>
        <w:ind w:left="0" w:right="709"/>
        <w:jc w:val="both"/>
      </w:pPr>
      <w:r>
        <w:rPr>
          <w:rFonts w:ascii="Calibri" w:hAnsi="Calibri" w:cs="Arial"/>
          <w:rtl/>
          <w:sz w:val="24"/>
          <w:szCs w:val="24"/>
        </w:rPr>
        <w:t xml:space="preserve">4.4. لا يجوز أن تتجاوز المخرجات المعتمدة المبيعة المدخلات المعتمدة مضروبة في معاملات التحويل، ويُحقق في أي فرق.</w:t>
      </w:r>
    </w:p>
    <w:p>
      <w:pPr>
        <w:pStyle w:val="ListeParagraf"/>
        <w:bidi/>
        <w:spacing w:after="80"/>
        <w:ind w:left="0" w:right="709"/>
        <w:jc w:val="both"/>
      </w:pPr>
      <w:r>
        <w:rPr>
          <w:rFonts w:ascii="Calibri" w:hAnsi="Calibri" w:cs="Arial"/>
          <w:rtl/>
          <w:sz w:val="24"/>
          <w:szCs w:val="24"/>
        </w:rPr>
        <w:t xml:space="preserve">4.5. تُوزن النفايات المعتمدة وتُسجل ويُتخلص منها وفق 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منسق GRS/RCS المؤشرات التالية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الفرق في توازن الكتلة لكل طلبية (%)،</w:t>
      </w:r>
    </w:p>
    <w:p>
      <w:pPr>
        <w:pStyle w:val="ListeParagraf"/>
        <w:numPr>
          <w:ilvl w:val="0"/>
          <w:numId w:val="1"/>
        </w:numPr>
        <w:bidi/>
        <w:spacing w:after="60"/>
        <w:jc w:val="both"/>
      </w:pPr>
      <w:r>
        <w:rPr>
          <w:rFonts w:ascii="Calibri" w:hAnsi="Calibri" w:cs="Arial"/>
          <w:rtl/>
          <w:sz w:val="24"/>
          <w:szCs w:val="24"/>
        </w:rPr>
        <w:t xml:space="preserve">عدد حالات عدم المطابقة في الفصل أو التعريف،</w:t>
      </w:r>
    </w:p>
    <w:p>
      <w:pPr>
        <w:pStyle w:val="ListeParagraf"/>
        <w:numPr>
          <w:ilvl w:val="0"/>
          <w:numId w:val="1"/>
        </w:numPr>
        <w:bidi/>
        <w:spacing w:after="60"/>
        <w:jc w:val="both"/>
      </w:pPr>
      <w:r>
        <w:rPr>
          <w:rFonts w:ascii="Calibri" w:hAnsi="Calibri" w:cs="Arial"/>
          <w:rtl/>
          <w:sz w:val="24"/>
          <w:szCs w:val="24"/>
        </w:rPr>
        <w:t xml:space="preserve">نسبة الدفعات المعتمدة الواردة المستلمة مع شهادة معاملة سارية.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الموردين المعتمدين وشهادات النطاق</w:t>
      </w:r>
    </w:p>
    <w:p>
      <w:pPr>
        <w:pStyle w:val="ListeParagraf"/>
        <w:numPr>
          <w:ilvl w:val="0"/>
          <w:numId w:val="1"/>
        </w:numPr>
        <w:bidi/>
        <w:spacing w:after="60"/>
        <w:jc w:val="both"/>
      </w:pPr>
      <w:r>
        <w:rPr>
          <w:rFonts w:ascii="Calibri" w:hAnsi="Calibri" w:cs="Arial"/>
          <w:rtl/>
          <w:sz w:val="24"/>
          <w:szCs w:val="24"/>
        </w:rPr>
        <w:t xml:space="preserve">شهادات المعاملات الواردة</w:t>
      </w:r>
    </w:p>
    <w:p>
      <w:pPr>
        <w:pStyle w:val="ListeParagraf"/>
        <w:numPr>
          <w:ilvl w:val="0"/>
          <w:numId w:val="1"/>
        </w:numPr>
        <w:bidi/>
        <w:spacing w:after="60"/>
        <w:jc w:val="both"/>
      </w:pPr>
      <w:r>
        <w:rPr>
          <w:rFonts w:ascii="Calibri" w:hAnsi="Calibri" w:cs="Arial"/>
          <w:rtl/>
          <w:sz w:val="24"/>
          <w:szCs w:val="24"/>
        </w:rPr>
        <w:t xml:space="preserve">سجلات استلام البضائع وحركة المخزون</w:t>
      </w:r>
    </w:p>
    <w:p>
      <w:pPr>
        <w:pStyle w:val="ListeParagraf"/>
        <w:numPr>
          <w:ilvl w:val="0"/>
          <w:numId w:val="1"/>
        </w:numPr>
        <w:bidi/>
        <w:spacing w:after="60"/>
        <w:jc w:val="both"/>
      </w:pPr>
      <w:r>
        <w:rPr>
          <w:rFonts w:ascii="Calibri" w:hAnsi="Calibri" w:cs="Arial"/>
          <w:rtl/>
          <w:sz w:val="24"/>
          <w:szCs w:val="24"/>
        </w:rPr>
        <w:t xml:space="preserve">سجلات الإنتاج وجداول توازن الكتلة</w:t>
      </w:r>
    </w:p>
    <w:p>
      <w:pPr>
        <w:pStyle w:val="ListeParagraf"/>
        <w:numPr>
          <w:ilvl w:val="0"/>
          <w:numId w:val="1"/>
        </w:numPr>
        <w:bidi/>
        <w:spacing w:after="60"/>
        <w:jc w:val="both"/>
      </w:pPr>
      <w:r>
        <w:rPr>
          <w:rFonts w:ascii="Calibri" w:hAnsi="Calibri" w:cs="Arial"/>
          <w:rtl/>
          <w:sz w:val="24"/>
          <w:szCs w:val="24"/>
        </w:rPr>
        <w:t xml:space="preserve">EMS.GR.PRO.14.02. إجراء شهادة المعاملة والوسم</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GRS/RCS وبعد كل تدقيق للشهادة. وتُقيّم نتائج التدقيق واقتراحات الأقسام،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GRS/RCS MATERIAL RECEIPT, SEGREGATION AND MASS BALANCE PROCEDURE</w:t>
          </w:r>
        </w:p>
        <w:p>
          <w:pPr>
            <w:pStyle w:val="GvdeMetni2"/>
            <w:bidi/>
            <w:spacing w:line="276" w:lineRule="auto"/>
            <w:jc w:val="center"/>
          </w:pPr>
          <w:r>
            <w:rPr>
              <w:rFonts w:asciiTheme="minorHAnsi" w:hAnsiTheme="minorHAnsi" w:cs="Arial"/>
              <w:b/>
              <w:bCs/>
              <w:color w:val="000000" w:themeColor="text1"/>
              <w:sz w:val="22"/>
              <w:szCs w:val="22"/>
              <w:rtl/>
            </w:rPr>
            <w:t>إجراء استلام مواد GRS/RCS وفصلها وتوازن الكتلة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EMS.GR.PRO.14.01.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EMS.GR.PRO.14.01. GRS/RCS MATERIAL RECEIPT, SEGREGATION AND MASS BALANCE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