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legal and other requirements applicable to Eroglu Knitting (EMS) are identified, accessed, recorded, communicated and kept up to date, and how compliance with them is evaluated, in line with ISO 9001, ISO 14001 and ISO 45001.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legal and other requirements related to labour, social security, occupational health and safety, environment, chemicals, fire and civil defence, buildings, customs, tax and product safety that apply to the activities of the EMS facility.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Legal Compliance Coordinator:</w:t>
      </w:r>
      <w:r>
        <w:rPr>
          <w:rFonts w:ascii="Calibri" w:hAnsi="Calibri" w:cs="Arial"/>
          <w:sz w:val="24"/>
          <w:szCs w:val="24"/>
        </w:rPr>
        <w:t xml:space="preserve"> Maintains the Legal Requirements Register, follows legal changes, organises compliance evaluations and reports the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Identify requirements related to their areas, implement them and provide evidence of compliance.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HR, HSE and Finance Managers:</w:t>
      </w:r>
      <w:r>
        <w:rPr>
          <w:rFonts w:ascii="Calibri" w:hAnsi="Calibri" w:cs="Arial"/>
          <w:sz w:val="24"/>
          <w:szCs w:val="24"/>
        </w:rPr>
        <w:t xml:space="preserve"> Follow changes in labour, OHS, environmental, social security and tax legislation and inform the coordinator.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External Legal Adviser:</w:t>
      </w:r>
      <w:r>
        <w:rPr>
          <w:rFonts w:ascii="Calibri" w:hAnsi="Calibri" w:cs="Arial"/>
          <w:sz w:val="24"/>
          <w:szCs w:val="24"/>
        </w:rPr>
        <w:t xml:space="preserve"> Gives opinions on unclear or new legal requirements when requested.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Legal Requirements Register:</w:t>
      </w:r>
      <w:r>
        <w:rPr>
          <w:rFonts w:ascii="Calibri" w:hAnsi="Calibri" w:cs="Arial"/>
          <w:sz w:val="24"/>
          <w:szCs w:val="24"/>
        </w:rPr>
        <w:t xml:space="preserve"> The list of all applicable legal and other requirements, showing the source, the related department, how the Company complies and the evidence.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Compliance Evaluation:</w:t>
      </w:r>
      <w:r>
        <w:rPr>
          <w:rFonts w:ascii="Calibri" w:hAnsi="Calibri" w:cs="Arial"/>
          <w:sz w:val="24"/>
          <w:szCs w:val="24"/>
        </w:rPr>
        <w:t xml:space="preserve"> The periodic check of whether each requirement in the register is met.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Legal Change:</w:t>
      </w:r>
      <w:r>
        <w:rPr>
          <w:rFonts w:ascii="Calibri" w:hAnsi="Calibri" w:cs="Arial"/>
          <w:sz w:val="24"/>
          <w:szCs w:val="24"/>
        </w:rPr>
        <w:t xml:space="preserve"> A new or amended law, regulation, decree or official decision that affects the Company.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IDENTIFYING REQUIREMENTS</w:t>
      </w:r>
    </w:p>
    <w:p>
      <w:pPr>
        <w:pStyle w:val="ListeParagraf"/>
        <w:spacing w:after="80"/>
        <w:ind w:left="709" w:right="0"/>
        <w:jc w:val="both"/>
      </w:pPr>
      <w:r>
        <w:rPr>
          <w:rFonts w:ascii="Calibri" w:hAnsi="Calibri" w:cs="Arial"/>
          <w:sz w:val="24"/>
          <w:szCs w:val="24"/>
        </w:rPr>
        <w:t xml:space="preserve">1.1. Legal requirements are identified from the following sources:</w:t>
      </w:r>
    </w:p>
    <w:p>
      <w:pPr>
        <w:pStyle w:val="ListeParagraf"/>
        <w:numPr>
          <w:ilvl w:val="0"/>
          <w:numId w:val="1"/>
        </w:numPr>
        <w:spacing w:after="60"/>
        <w:jc w:val="both"/>
      </w:pPr>
      <w:r>
        <w:rPr>
          <w:rFonts w:ascii="Calibri" w:hAnsi="Calibri" w:cs="Arial"/>
          <w:sz w:val="24"/>
          <w:szCs w:val="24"/>
        </w:rPr>
        <w:t xml:space="preserve">Official Gazette and announcements of the relevant ministries and authorities,</w:t>
      </w:r>
    </w:p>
    <w:p>
      <w:pPr>
        <w:pStyle w:val="ListeParagraf"/>
        <w:numPr>
          <w:ilvl w:val="0"/>
          <w:numId w:val="1"/>
        </w:numPr>
        <w:spacing w:after="60"/>
        <w:jc w:val="both"/>
      </w:pPr>
      <w:r>
        <w:rPr>
          <w:rFonts w:ascii="Calibri" w:hAnsi="Calibri" w:cs="Arial"/>
          <w:sz w:val="24"/>
          <w:szCs w:val="24"/>
        </w:rPr>
        <w:t xml:space="preserve">Industrial zone authority, labour office, civil defence and environmental authority communications,</w:t>
      </w:r>
    </w:p>
    <w:p>
      <w:pPr>
        <w:pStyle w:val="ListeParagraf"/>
        <w:numPr>
          <w:ilvl w:val="0"/>
          <w:numId w:val="1"/>
        </w:numPr>
        <w:spacing w:after="60"/>
        <w:jc w:val="both"/>
      </w:pPr>
      <w:r>
        <w:rPr>
          <w:rFonts w:ascii="Calibri" w:hAnsi="Calibri" w:cs="Arial"/>
          <w:sz w:val="24"/>
          <w:szCs w:val="24"/>
        </w:rPr>
        <w:t xml:space="preserve">Legal adviser, industry associations and chambers of industry,</w:t>
      </w:r>
    </w:p>
    <w:p>
      <w:pPr>
        <w:pStyle w:val="ListeParagraf"/>
        <w:numPr>
          <w:ilvl w:val="0"/>
          <w:numId w:val="1"/>
        </w:numPr>
        <w:spacing w:after="60"/>
        <w:jc w:val="both"/>
      </w:pPr>
      <w:r>
        <w:rPr>
          <w:rFonts w:ascii="Calibri" w:hAnsi="Calibri" w:cs="Arial"/>
          <w:sz w:val="24"/>
          <w:szCs w:val="24"/>
        </w:rPr>
        <w:t xml:space="preserve">Permits and licences issued to the Company, and the conditions written in them.</w:t>
      </w:r>
    </w:p>
    <w:p>
      <w:pPr>
        <w:pStyle w:val="ListeParagraf"/>
        <w:spacing w:after="80"/>
        <w:ind w:left="709" w:right="0"/>
        <w:jc w:val="both"/>
      </w:pPr>
      <w:r>
        <w:rPr>
          <w:rFonts w:ascii="Calibri" w:hAnsi="Calibri" w:cs="Arial"/>
          <w:sz w:val="24"/>
          <w:szCs w:val="24"/>
        </w:rPr>
        <w:t xml:space="preserve">1.2. Other requirements are identified from customer codes of conduct, customer manuals, certification standards and industry programmes (for example ZDHC MRSL and Higg FEM).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LEGAL REQUIREMENTS REGISTER</w:t>
      </w:r>
    </w:p>
    <w:p>
      <w:pPr>
        <w:pStyle w:val="ListeParagraf"/>
        <w:spacing w:after="80"/>
        <w:ind w:left="709" w:right="0"/>
        <w:jc w:val="both"/>
      </w:pPr>
      <w:r>
        <w:rPr>
          <w:rFonts w:ascii="Calibri" w:hAnsi="Calibri" w:cs="Arial"/>
          <w:sz w:val="24"/>
          <w:szCs w:val="24"/>
        </w:rPr>
        <w:t xml:space="preserve">2.1. Each requirement is entered into the register with its title, date, issuing body, the related activity or department, a short summary of the obligation and the method of compliance.</w:t>
      </w:r>
    </w:p>
    <w:p>
      <w:pPr>
        <w:pStyle w:val="ListeParagraf"/>
        <w:spacing w:after="80"/>
        <w:ind w:left="709" w:right="0"/>
        <w:jc w:val="both"/>
      </w:pPr>
      <w:r>
        <w:rPr>
          <w:rFonts w:ascii="Calibri" w:hAnsi="Calibri" w:cs="Arial"/>
          <w:sz w:val="24"/>
          <w:szCs w:val="24"/>
        </w:rPr>
        <w:t xml:space="preserve">2.2. The register is kept in Arabic and English; copies of the original texts are kept in the legal library.</w:t>
      </w:r>
    </w:p>
    <w:p>
      <w:pPr>
        <w:pStyle w:val="ListeParagraf"/>
        <w:spacing w:after="80"/>
        <w:ind w:left="709" w:right="0"/>
        <w:jc w:val="both"/>
      </w:pPr>
      <w:r>
        <w:rPr>
          <w:rFonts w:ascii="Calibri" w:hAnsi="Calibri" w:cs="Arial"/>
          <w:sz w:val="24"/>
          <w:szCs w:val="24"/>
        </w:rPr>
        <w:t xml:space="preserve">2.3. The register is approved by the General Manager and made available to department managers.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FOLLOWING LEGAL CHANGES</w:t>
      </w:r>
    </w:p>
    <w:p>
      <w:pPr>
        <w:pStyle w:val="ListeParagraf"/>
        <w:spacing w:after="80"/>
        <w:ind w:left="709" w:right="0"/>
        <w:jc w:val="both"/>
      </w:pPr>
      <w:r>
        <w:rPr>
          <w:rFonts w:ascii="Calibri" w:hAnsi="Calibri" w:cs="Arial"/>
          <w:sz w:val="24"/>
          <w:szCs w:val="24"/>
        </w:rPr>
        <w:t xml:space="preserve">3.1. The coordinator checks the sources for new or changed requirements at least once a month.</w:t>
      </w:r>
    </w:p>
    <w:p>
      <w:pPr>
        <w:pStyle w:val="ListeParagraf"/>
        <w:spacing w:after="80"/>
        <w:ind w:left="709" w:right="0"/>
        <w:jc w:val="both"/>
      </w:pPr>
      <w:r>
        <w:rPr>
          <w:rFonts w:ascii="Calibri" w:hAnsi="Calibri" w:cs="Arial"/>
          <w:sz w:val="24"/>
          <w:szCs w:val="24"/>
        </w:rPr>
        <w:t xml:space="preserve">3.2. When a change is found, its effect on the Company is assessed together with the related department, the register is updated and an action plan is prepared if needed.</w:t>
      </w:r>
    </w:p>
    <w:p>
      <w:pPr>
        <w:pStyle w:val="ListeParagraf"/>
        <w:spacing w:after="80"/>
        <w:ind w:left="709" w:right="0"/>
        <w:jc w:val="both"/>
      </w:pPr>
      <w:r>
        <w:rPr>
          <w:rFonts w:ascii="Calibri" w:hAnsi="Calibri" w:cs="Arial"/>
          <w:sz w:val="24"/>
          <w:szCs w:val="24"/>
        </w:rPr>
        <w:t xml:space="preserve">3.3. Changes are communicated to the related employees through meetings, training or notice boards.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COMPLIANCE EVALUATION</w:t>
      </w:r>
    </w:p>
    <w:p>
      <w:pPr>
        <w:pStyle w:val="ListeParagraf"/>
        <w:spacing w:after="80"/>
        <w:ind w:left="709" w:right="0"/>
        <w:jc w:val="both"/>
      </w:pPr>
      <w:r>
        <w:rPr>
          <w:rFonts w:ascii="Calibri" w:hAnsi="Calibri" w:cs="Arial"/>
          <w:sz w:val="24"/>
          <w:szCs w:val="24"/>
        </w:rPr>
        <w:t xml:space="preserve">4.1. Compliance with all requirements in the register is evaluated at least once a year, and more often for high-risk areas such as wastewater, fire safety and working hours.</w:t>
      </w:r>
    </w:p>
    <w:p>
      <w:pPr>
        <w:pStyle w:val="ListeParagraf"/>
        <w:spacing w:after="80"/>
        <w:ind w:left="709" w:right="0"/>
        <w:jc w:val="both"/>
      </w:pPr>
      <w:r>
        <w:rPr>
          <w:rFonts w:ascii="Calibri" w:hAnsi="Calibri" w:cs="Arial"/>
          <w:sz w:val="24"/>
          <w:szCs w:val="24"/>
        </w:rPr>
        <w:t xml:space="preserve">4.2. The evaluation is carried out by checking records, inspection reports, permits, measurement results and by site visits.</w:t>
      </w:r>
    </w:p>
    <w:p>
      <w:pPr>
        <w:pStyle w:val="ListeParagraf"/>
        <w:spacing w:after="80"/>
        <w:ind w:left="709" w:right="0"/>
        <w:jc w:val="both"/>
      </w:pPr>
      <w:r>
        <w:rPr>
          <w:rFonts w:ascii="Calibri" w:hAnsi="Calibri" w:cs="Arial"/>
          <w:sz w:val="24"/>
          <w:szCs w:val="24"/>
        </w:rPr>
        <w:t xml:space="preserve">4.3. Results of internal audits, official inspections and customer audits are also used as inputs.</w:t>
      </w:r>
    </w:p>
    <w:p>
      <w:pPr>
        <w:pStyle w:val="ListeParagraf"/>
        <w:spacing w:after="80"/>
        <w:ind w:left="709" w:right="0"/>
        <w:jc w:val="both"/>
      </w:pPr>
      <w:r>
        <w:rPr>
          <w:rFonts w:ascii="Calibri" w:hAnsi="Calibri" w:cs="Arial"/>
          <w:sz w:val="24"/>
          <w:szCs w:val="24"/>
        </w:rPr>
        <w:t xml:space="preserve">4.4. For each non-compliance a corrective action is opened according to EMS.YS.PRO.11.02., with a responsible person and a deadline.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MONITORING AND PERFORMANCE</w:t>
      </w:r>
    </w:p>
    <w:p>
      <w:pPr>
        <w:pStyle w:val="ListeParagraf"/>
        <w:spacing w:after="80"/>
        <w:ind w:left="709" w:right="0"/>
        <w:jc w:val="both"/>
      </w:pPr>
      <w:r>
        <w:rPr>
          <w:rFonts w:ascii="Calibri" w:hAnsi="Calibri" w:cs="Arial"/>
          <w:sz w:val="24"/>
          <w:szCs w:val="24"/>
        </w:rPr>
        <w:t xml:space="preserve">5.1. The coordinator reports the following indicators in the management review:</w:t>
      </w:r>
    </w:p>
    <w:p>
      <w:pPr>
        <w:pStyle w:val="ListeParagraf"/>
        <w:numPr>
          <w:ilvl w:val="0"/>
          <w:numId w:val="1"/>
        </w:numPr>
        <w:spacing w:after="60"/>
        <w:jc w:val="both"/>
      </w:pPr>
      <w:r>
        <w:rPr>
          <w:rFonts w:ascii="Calibri" w:hAnsi="Calibri" w:cs="Arial"/>
          <w:sz w:val="24"/>
          <w:szCs w:val="24"/>
        </w:rPr>
        <w:t xml:space="preserve">Compliance rate of requirements in the register (%),</w:t>
      </w:r>
    </w:p>
    <w:p>
      <w:pPr>
        <w:pStyle w:val="ListeParagraf"/>
        <w:numPr>
          <w:ilvl w:val="0"/>
          <w:numId w:val="1"/>
        </w:numPr>
        <w:spacing w:after="60"/>
        <w:jc w:val="both"/>
      </w:pPr>
      <w:r>
        <w:rPr>
          <w:rFonts w:ascii="Calibri" w:hAnsi="Calibri" w:cs="Arial"/>
          <w:sz w:val="24"/>
          <w:szCs w:val="24"/>
        </w:rPr>
        <w:t xml:space="preserve">Number of legal non-compliances and their closure rate within the deadline,</w:t>
      </w:r>
    </w:p>
    <w:p>
      <w:pPr>
        <w:pStyle w:val="ListeParagraf"/>
        <w:numPr>
          <w:ilvl w:val="0"/>
          <w:numId w:val="1"/>
        </w:numPr>
        <w:spacing w:after="60"/>
        <w:jc w:val="both"/>
      </w:pPr>
      <w:r>
        <w:rPr>
          <w:rFonts w:ascii="Calibri" w:hAnsi="Calibri" w:cs="Arial"/>
          <w:sz w:val="24"/>
          <w:szCs w:val="24"/>
        </w:rPr>
        <w:t xml:space="preserve">Number of findings and penalties from official inspections.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Legal Requirements Register</w:t>
      </w:r>
    </w:p>
    <w:p>
      <w:pPr>
        <w:pStyle w:val="ListeParagraf"/>
        <w:numPr>
          <w:ilvl w:val="0"/>
          <w:numId w:val="1"/>
        </w:numPr>
        <w:spacing w:after="60"/>
        <w:jc w:val="both"/>
      </w:pPr>
      <w:r>
        <w:rPr>
          <w:rFonts w:ascii="Calibri" w:hAnsi="Calibri" w:cs="Arial"/>
          <w:sz w:val="24"/>
          <w:szCs w:val="24"/>
        </w:rPr>
        <w:t xml:space="preserve">Compliance Evaluation Reports</w:t>
      </w:r>
    </w:p>
    <w:p>
      <w:pPr>
        <w:pStyle w:val="ListeParagraf"/>
        <w:numPr>
          <w:ilvl w:val="0"/>
          <w:numId w:val="1"/>
        </w:numPr>
        <w:spacing w:after="60"/>
        <w:jc w:val="both"/>
      </w:pPr>
      <w:r>
        <w:rPr>
          <w:rFonts w:ascii="Calibri" w:hAnsi="Calibri" w:cs="Arial"/>
          <w:sz w:val="24"/>
          <w:szCs w:val="24"/>
        </w:rPr>
        <w:t xml:space="preserve">Official Inspection Reports and Correspondence</w:t>
      </w:r>
    </w:p>
    <w:p>
      <w:pPr>
        <w:pStyle w:val="ListeParagraf"/>
        <w:numPr>
          <w:ilvl w:val="0"/>
          <w:numId w:val="1"/>
        </w:numPr>
        <w:spacing w:after="60"/>
        <w:jc w:val="both"/>
      </w:pPr>
      <w:r>
        <w:rPr>
          <w:rFonts w:ascii="Calibri" w:hAnsi="Calibri" w:cs="Arial"/>
          <w:sz w:val="24"/>
          <w:szCs w:val="24"/>
        </w:rPr>
        <w:t xml:space="preserve">EMS.HK.POL.17.01. Legal Compliance Policy</w:t>
      </w:r>
    </w:p>
    <w:p>
      <w:pPr>
        <w:pStyle w:val="ListeParagraf"/>
        <w:numPr>
          <w:ilvl w:val="0"/>
          <w:numId w:val="1"/>
        </w:numPr>
        <w:spacing w:after="60"/>
        <w:jc w:val="both"/>
      </w:pPr>
      <w:r>
        <w:rPr>
          <w:rFonts w:ascii="Calibri" w:hAnsi="Calibri" w:cs="Arial"/>
          <w:sz w:val="24"/>
          <w:szCs w:val="24"/>
        </w:rPr>
        <w:t xml:space="preserve">EMS.HK.PRO.17.02. Permits and Licences Follow-Up Procedure</w:t>
      </w:r>
    </w:p>
    <w:p>
      <w:pPr>
        <w:pStyle w:val="ListeParagraf"/>
        <w:numPr>
          <w:ilvl w:val="0"/>
          <w:numId w:val="1"/>
        </w:numPr>
        <w:spacing w:after="60"/>
        <w:jc w:val="both"/>
      </w:pPr>
      <w:r>
        <w:rPr>
          <w:rFonts w:ascii="Calibri" w:hAnsi="Calibri" w:cs="Arial"/>
          <w:sz w:val="24"/>
          <w:szCs w:val="24"/>
        </w:rPr>
        <w:t xml:space="preserve">EMS.YS.PRO.11.02. Internal Audit, Nonconformity and Corrective Action Procedure</w:t>
      </w:r>
    </w:p>
    <w:p>
      <w:pPr>
        <w:pStyle w:val="ListeParagraf"/>
        <w:numPr>
          <w:ilvl w:val="0"/>
          <w:numId w:val="1"/>
        </w:numPr>
        <w:spacing w:after="60"/>
        <w:jc w:val="both"/>
      </w:pPr>
      <w:r>
        <w:rPr>
          <w:rFonts w:ascii="Calibri" w:hAnsi="Calibri" w:cs="Arial"/>
          <w:sz w:val="24"/>
          <w:szCs w:val="24"/>
        </w:rPr>
        <w:t xml:space="preserve">EMS OHS SP12 Compliance Evaluation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This procedure is reviewed every year by the Legal Compliance Coordinator. Results of compliance evaluations, audits and inspections are evaluated and the procedure is revised when necessary.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تحديد المتطلبات القانونية والمتطلبات الأخرى المنطبقة على شركة إيروغلو للتريكو (EMS) والوصول إليها وتسجيلها وإبلاغها وتحديثها، وكيفية تقييم الامتثال لها، بما يتوافق مع ISO 9001 وISO 14001 وISO 45001.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المتطلبات القانونية والمتطلبات الأخرى المتعلقة بالعمل والتأمينات الاجتماعية والسلامة والصحة المهنية والبيئة والكيماويات والحريق والدفاع المدني والمباني والجمارك والضرائب وسلامة المنتج، والمنطبقة على أنشطة منشأة EMS.</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منسق الامتثال القانوني:</w:t>
      </w:r>
      <w:r>
        <w:rPr>
          <w:rFonts w:ascii="Calibri" w:hAnsi="Calibri" w:cs="Arial"/>
          <w:rtl/>
          <w:sz w:val="24"/>
          <w:szCs w:val="24"/>
        </w:rPr>
        <w:t xml:space="preserve"> يحتفظ بسجل المتطلبات القانونية، ويتابع التغييرات القانونية، وينظم تقييمات الامتثال ويرفع نتائجها.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يحددون المتطلبات المتعلقة بمناطقهم، ويطبقونها، ويقدمون أدلة الامتثال.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الموارد البشرية والسلامة والصحة والبيئة والمالية:</w:t>
      </w:r>
      <w:r>
        <w:rPr>
          <w:rFonts w:ascii="Calibri" w:hAnsi="Calibri" w:cs="Arial"/>
          <w:rtl/>
          <w:sz w:val="24"/>
          <w:szCs w:val="24"/>
        </w:rPr>
        <w:t xml:space="preserve"> يتابعون التغييرات في تشريعات العمل والسلامة والصحة المهنية والبيئة والتأمينات الاجتماعية والضرائب، ويبلغون المنسق.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المستشار القانوني الخارجي:</w:t>
      </w:r>
      <w:r>
        <w:rPr>
          <w:rFonts w:ascii="Calibri" w:hAnsi="Calibri" w:cs="Arial"/>
          <w:rtl/>
          <w:sz w:val="24"/>
          <w:szCs w:val="24"/>
        </w:rPr>
        <w:t xml:space="preserve"> يقدم الرأي في المتطلبات القانونية غير الواضحة أو الجديدة عند الطلب.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سجل المتطلبات القانونية:</w:t>
      </w:r>
      <w:r>
        <w:rPr>
          <w:rFonts w:ascii="Calibri" w:hAnsi="Calibri" w:cs="Arial"/>
          <w:rtl/>
          <w:sz w:val="24"/>
          <w:szCs w:val="24"/>
        </w:rPr>
        <w:t xml:space="preserve"> قائمة بجميع المتطلبات القانونية والمتطلبات الأخرى المنطبقة، تبين المصدر والقسم المعني وطريقة امتثال الشركة والأدلة.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تقييم الامتثال:</w:t>
      </w:r>
      <w:r>
        <w:rPr>
          <w:rFonts w:ascii="Calibri" w:hAnsi="Calibri" w:cs="Arial"/>
          <w:rtl/>
          <w:sz w:val="24"/>
          <w:szCs w:val="24"/>
        </w:rPr>
        <w:t xml:space="preserve"> الفحص الدوري للتأكد من الوفاء بكل متطلب في السجل.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التغيير القانوني:</w:t>
      </w:r>
      <w:r>
        <w:rPr>
          <w:rFonts w:ascii="Calibri" w:hAnsi="Calibri" w:cs="Arial"/>
          <w:rtl/>
          <w:sz w:val="24"/>
          <w:szCs w:val="24"/>
        </w:rPr>
        <w:t xml:space="preserve"> قانون أو لائحة أو مرسوم أو قرار رسمي جديد أو معدل يؤثر على الشركة.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تحديد المتطلبات</w:t>
      </w:r>
    </w:p>
    <w:p>
      <w:pPr>
        <w:pStyle w:val="ListeParagraf"/>
        <w:bidi/>
        <w:spacing w:after="80"/>
        <w:ind w:left="0" w:right="709"/>
        <w:jc w:val="both"/>
      </w:pPr>
      <w:r>
        <w:rPr>
          <w:rFonts w:ascii="Calibri" w:hAnsi="Calibri" w:cs="Arial"/>
          <w:rtl/>
          <w:sz w:val="24"/>
          <w:szCs w:val="24"/>
        </w:rPr>
        <w:t xml:space="preserve">1.1. تُحدد المتطلبات القانونية من المصادر التالية:</w:t>
      </w:r>
    </w:p>
    <w:p>
      <w:pPr>
        <w:pStyle w:val="ListeParagraf"/>
        <w:numPr>
          <w:ilvl w:val="0"/>
          <w:numId w:val="1"/>
        </w:numPr>
        <w:bidi/>
        <w:spacing w:after="60"/>
        <w:jc w:val="both"/>
      </w:pPr>
      <w:r>
        <w:rPr>
          <w:rFonts w:ascii="Calibri" w:hAnsi="Calibri" w:cs="Arial"/>
          <w:rtl/>
          <w:sz w:val="24"/>
          <w:szCs w:val="24"/>
        </w:rPr>
        <w:t xml:space="preserve">الجريدة الرسمية وإعلانات الوزارات والجهات المختصة،</w:t>
      </w:r>
    </w:p>
    <w:p>
      <w:pPr>
        <w:pStyle w:val="ListeParagraf"/>
        <w:numPr>
          <w:ilvl w:val="0"/>
          <w:numId w:val="1"/>
        </w:numPr>
        <w:bidi/>
        <w:spacing w:after="60"/>
        <w:jc w:val="both"/>
      </w:pPr>
      <w:r>
        <w:rPr>
          <w:rFonts w:ascii="Calibri" w:hAnsi="Calibri" w:cs="Arial"/>
          <w:rtl/>
          <w:sz w:val="24"/>
          <w:szCs w:val="24"/>
        </w:rPr>
        <w:t xml:space="preserve">مراسلات هيئة المنطقة الصناعية ومكتب العمل والدفاع المدني وجهاز شؤون البيئة،</w:t>
      </w:r>
    </w:p>
    <w:p>
      <w:pPr>
        <w:pStyle w:val="ListeParagraf"/>
        <w:numPr>
          <w:ilvl w:val="0"/>
          <w:numId w:val="1"/>
        </w:numPr>
        <w:bidi/>
        <w:spacing w:after="60"/>
        <w:jc w:val="both"/>
      </w:pPr>
      <w:r>
        <w:rPr>
          <w:rFonts w:ascii="Calibri" w:hAnsi="Calibri" w:cs="Arial"/>
          <w:rtl/>
          <w:sz w:val="24"/>
          <w:szCs w:val="24"/>
        </w:rPr>
        <w:t xml:space="preserve">المستشار القانوني والجمعيات الصناعية وغرف الصناعة،</w:t>
      </w:r>
    </w:p>
    <w:p>
      <w:pPr>
        <w:pStyle w:val="ListeParagraf"/>
        <w:numPr>
          <w:ilvl w:val="0"/>
          <w:numId w:val="1"/>
        </w:numPr>
        <w:bidi/>
        <w:spacing w:after="60"/>
        <w:jc w:val="both"/>
      </w:pPr>
      <w:r>
        <w:rPr>
          <w:rFonts w:ascii="Calibri" w:hAnsi="Calibri" w:cs="Arial"/>
          <w:rtl/>
          <w:sz w:val="24"/>
          <w:szCs w:val="24"/>
        </w:rPr>
        <w:t xml:space="preserve">التصاريح والتراخيص الصادرة للشركة والشروط المدونة فيها.</w:t>
      </w:r>
    </w:p>
    <w:p>
      <w:pPr>
        <w:pStyle w:val="ListeParagraf"/>
        <w:bidi/>
        <w:spacing w:after="80"/>
        <w:ind w:left="0" w:right="709"/>
        <w:jc w:val="both"/>
      </w:pPr>
      <w:r>
        <w:rPr>
          <w:rFonts w:ascii="Calibri" w:hAnsi="Calibri" w:cs="Arial"/>
          <w:rtl/>
          <w:sz w:val="24"/>
          <w:szCs w:val="24"/>
        </w:rPr>
        <w:t xml:space="preserve">1.2. تُحدد المتطلبات الأخرى من مدونات سلوك العملاء وأدلة العملاء ومعايير الشهادات وبرامج القطاع (مثل ZDHC MRSL وHigg FEM).</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سجل المتطلبات القانونية</w:t>
      </w:r>
    </w:p>
    <w:p>
      <w:pPr>
        <w:pStyle w:val="ListeParagraf"/>
        <w:bidi/>
        <w:spacing w:after="80"/>
        <w:ind w:left="0" w:right="709"/>
        <w:jc w:val="both"/>
      </w:pPr>
      <w:r>
        <w:rPr>
          <w:rFonts w:ascii="Calibri" w:hAnsi="Calibri" w:cs="Arial"/>
          <w:rtl/>
          <w:sz w:val="24"/>
          <w:szCs w:val="24"/>
        </w:rPr>
        <w:t xml:space="preserve">2.1. يُدخل كل متطلب في السجل مع عنوانه وتاريخه والجهة المصدرة له والنشاط أو القسم المعني وملخص قصير للالتزام وطريقة الامتثال.</w:t>
      </w:r>
    </w:p>
    <w:p>
      <w:pPr>
        <w:pStyle w:val="ListeParagraf"/>
        <w:bidi/>
        <w:spacing w:after="80"/>
        <w:ind w:left="0" w:right="709"/>
        <w:jc w:val="both"/>
      </w:pPr>
      <w:r>
        <w:rPr>
          <w:rFonts w:ascii="Calibri" w:hAnsi="Calibri" w:cs="Arial"/>
          <w:rtl/>
          <w:sz w:val="24"/>
          <w:szCs w:val="24"/>
        </w:rPr>
        <w:t xml:space="preserve">2.2. يُحفظ السجل باللغتين العربية والإنجليزية، وتُحفظ نسخ من النصوص الأصلية في المكتبة القانونية.</w:t>
      </w:r>
    </w:p>
    <w:p>
      <w:pPr>
        <w:pStyle w:val="ListeParagraf"/>
        <w:bidi/>
        <w:spacing w:after="80"/>
        <w:ind w:left="0" w:right="709"/>
        <w:jc w:val="both"/>
      </w:pPr>
      <w:r>
        <w:rPr>
          <w:rFonts w:ascii="Calibri" w:hAnsi="Calibri" w:cs="Arial"/>
          <w:rtl/>
          <w:sz w:val="24"/>
          <w:szCs w:val="24"/>
        </w:rPr>
        <w:t xml:space="preserve">2.3. يعتمد المدير العام السجل ويُتاح لمديري الأقسام.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متابعة التغييرات القانونية</w:t>
      </w:r>
    </w:p>
    <w:p>
      <w:pPr>
        <w:pStyle w:val="ListeParagraf"/>
        <w:bidi/>
        <w:spacing w:after="80"/>
        <w:ind w:left="0" w:right="709"/>
        <w:jc w:val="both"/>
      </w:pPr>
      <w:r>
        <w:rPr>
          <w:rFonts w:ascii="Calibri" w:hAnsi="Calibri" w:cs="Arial"/>
          <w:rtl/>
          <w:sz w:val="24"/>
          <w:szCs w:val="24"/>
        </w:rPr>
        <w:t xml:space="preserve">3.1. يراجع المنسق المصادر مرة واحدة شهريًا على الأقل للبحث عن متطلبات جديدة أو معدلة.</w:t>
      </w:r>
    </w:p>
    <w:p>
      <w:pPr>
        <w:pStyle w:val="ListeParagraf"/>
        <w:bidi/>
        <w:spacing w:after="80"/>
        <w:ind w:left="0" w:right="709"/>
        <w:jc w:val="both"/>
      </w:pPr>
      <w:r>
        <w:rPr>
          <w:rFonts w:ascii="Calibri" w:hAnsi="Calibri" w:cs="Arial"/>
          <w:rtl/>
          <w:sz w:val="24"/>
          <w:szCs w:val="24"/>
        </w:rPr>
        <w:t xml:space="preserve">3.2. عند اكتشاف تغيير يُقيّم أثره على الشركة بالتعاون مع القسم المعني، ويُحدث السجل، وتُعد خطة عمل عند الحاجة.</w:t>
      </w:r>
    </w:p>
    <w:p>
      <w:pPr>
        <w:pStyle w:val="ListeParagraf"/>
        <w:bidi/>
        <w:spacing w:after="80"/>
        <w:ind w:left="0" w:right="709"/>
        <w:jc w:val="both"/>
      </w:pPr>
      <w:r>
        <w:rPr>
          <w:rFonts w:ascii="Calibri" w:hAnsi="Calibri" w:cs="Arial"/>
          <w:rtl/>
          <w:sz w:val="24"/>
          <w:szCs w:val="24"/>
        </w:rPr>
        <w:t xml:space="preserve">3.3. تُبلغ التغييرات للموظفين المعنيين من خلال الاجتماعات أو التدريب أو لوحات الإعلانات.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تقييم الامتثال</w:t>
      </w:r>
    </w:p>
    <w:p>
      <w:pPr>
        <w:pStyle w:val="ListeParagraf"/>
        <w:bidi/>
        <w:spacing w:after="80"/>
        <w:ind w:left="0" w:right="709"/>
        <w:jc w:val="both"/>
      </w:pPr>
      <w:r>
        <w:rPr>
          <w:rFonts w:ascii="Calibri" w:hAnsi="Calibri" w:cs="Arial"/>
          <w:rtl/>
          <w:sz w:val="24"/>
          <w:szCs w:val="24"/>
        </w:rPr>
        <w:t xml:space="preserve">4.1. يُقيّم الامتثال لجميع المتطلبات الواردة في السجل مرة واحدة سنويًا على الأقل، وبشكل أكثر تكرارًا للمجالات عالية الخطورة مثل مياه الصرف والسلامة من الحريق وساعات العمل.</w:t>
      </w:r>
    </w:p>
    <w:p>
      <w:pPr>
        <w:pStyle w:val="ListeParagraf"/>
        <w:bidi/>
        <w:spacing w:after="80"/>
        <w:ind w:left="0" w:right="709"/>
        <w:jc w:val="both"/>
      </w:pPr>
      <w:r>
        <w:rPr>
          <w:rFonts w:ascii="Calibri" w:hAnsi="Calibri" w:cs="Arial"/>
          <w:rtl/>
          <w:sz w:val="24"/>
          <w:szCs w:val="24"/>
        </w:rPr>
        <w:t xml:space="preserve">4.2. يُجرى التقييم من خلال مراجعة السجلات وتقارير الفحص والتصاريح ونتائج القياسات ومن خلال الزيارات الميدانية.</w:t>
      </w:r>
    </w:p>
    <w:p>
      <w:pPr>
        <w:pStyle w:val="ListeParagraf"/>
        <w:bidi/>
        <w:spacing w:after="80"/>
        <w:ind w:left="0" w:right="709"/>
        <w:jc w:val="both"/>
      </w:pPr>
      <w:r>
        <w:rPr>
          <w:rFonts w:ascii="Calibri" w:hAnsi="Calibri" w:cs="Arial"/>
          <w:rtl/>
          <w:sz w:val="24"/>
          <w:szCs w:val="24"/>
        </w:rPr>
        <w:t xml:space="preserve">4.3. تُستخدم أيضًا نتائج التدقيقات الداخلية والتفتيشات الرسمية وتدقيقات العملاء كمدخلات.</w:t>
      </w:r>
    </w:p>
    <w:p>
      <w:pPr>
        <w:pStyle w:val="ListeParagraf"/>
        <w:bidi/>
        <w:spacing w:after="80"/>
        <w:ind w:left="0" w:right="709"/>
        <w:jc w:val="both"/>
      </w:pPr>
      <w:r>
        <w:rPr>
          <w:rFonts w:ascii="Calibri" w:hAnsi="Calibri" w:cs="Arial"/>
          <w:rtl/>
          <w:sz w:val="24"/>
          <w:szCs w:val="24"/>
        </w:rPr>
        <w:t xml:space="preserve">4.4. يُفتح لكل عدم امتثال إجراء تصحيحي وفق EMS.YS.PRO.11.02. مع تحديد شخص مسؤول وموعد نهائي.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المتابعة والأداء</w:t>
      </w:r>
    </w:p>
    <w:p>
      <w:pPr>
        <w:pStyle w:val="ListeParagraf"/>
        <w:bidi/>
        <w:spacing w:after="80"/>
        <w:ind w:left="0" w:right="709"/>
        <w:jc w:val="both"/>
      </w:pPr>
      <w:r>
        <w:rPr>
          <w:rFonts w:ascii="Calibri" w:hAnsi="Calibri" w:cs="Arial"/>
          <w:rtl/>
          <w:sz w:val="24"/>
          <w:szCs w:val="24"/>
        </w:rPr>
        <w:t xml:space="preserve">5.1. يعرض المنسق المؤشرات التالية في مراجعة الإدارة:</w:t>
      </w:r>
    </w:p>
    <w:p>
      <w:pPr>
        <w:pStyle w:val="ListeParagraf"/>
        <w:numPr>
          <w:ilvl w:val="0"/>
          <w:numId w:val="1"/>
        </w:numPr>
        <w:bidi/>
        <w:spacing w:after="60"/>
        <w:jc w:val="both"/>
      </w:pPr>
      <w:r>
        <w:rPr>
          <w:rFonts w:ascii="Calibri" w:hAnsi="Calibri" w:cs="Arial"/>
          <w:rtl/>
          <w:sz w:val="24"/>
          <w:szCs w:val="24"/>
        </w:rPr>
        <w:t xml:space="preserve">نسبة الامتثال للمتطلبات الواردة في السجل (%)،</w:t>
      </w:r>
    </w:p>
    <w:p>
      <w:pPr>
        <w:pStyle w:val="ListeParagraf"/>
        <w:numPr>
          <w:ilvl w:val="0"/>
          <w:numId w:val="1"/>
        </w:numPr>
        <w:bidi/>
        <w:spacing w:after="60"/>
        <w:jc w:val="both"/>
      </w:pPr>
      <w:r>
        <w:rPr>
          <w:rFonts w:ascii="Calibri" w:hAnsi="Calibri" w:cs="Arial"/>
          <w:rtl/>
          <w:sz w:val="24"/>
          <w:szCs w:val="24"/>
        </w:rPr>
        <w:t xml:space="preserve">عدد حالات عدم الامتثال القانوني ونسبة إغلاقها في الموعد المحدد،</w:t>
      </w:r>
    </w:p>
    <w:p>
      <w:pPr>
        <w:pStyle w:val="ListeParagraf"/>
        <w:numPr>
          <w:ilvl w:val="0"/>
          <w:numId w:val="1"/>
        </w:numPr>
        <w:bidi/>
        <w:spacing w:after="60"/>
        <w:jc w:val="both"/>
      </w:pPr>
      <w:r>
        <w:rPr>
          <w:rFonts w:ascii="Calibri" w:hAnsi="Calibri" w:cs="Arial"/>
          <w:rtl/>
          <w:sz w:val="24"/>
          <w:szCs w:val="24"/>
        </w:rPr>
        <w:t xml:space="preserve">عدد الملاحظات والغرامات الناتجة عن التفتيشات الرسمية.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سجل المتطلبات القانونية</w:t>
      </w:r>
    </w:p>
    <w:p>
      <w:pPr>
        <w:pStyle w:val="ListeParagraf"/>
        <w:numPr>
          <w:ilvl w:val="0"/>
          <w:numId w:val="1"/>
        </w:numPr>
        <w:bidi/>
        <w:spacing w:after="60"/>
        <w:jc w:val="both"/>
      </w:pPr>
      <w:r>
        <w:rPr>
          <w:rFonts w:ascii="Calibri" w:hAnsi="Calibri" w:cs="Arial"/>
          <w:rtl/>
          <w:sz w:val="24"/>
          <w:szCs w:val="24"/>
        </w:rPr>
        <w:t xml:space="preserve">تقارير تقييم الامتثال</w:t>
      </w:r>
    </w:p>
    <w:p>
      <w:pPr>
        <w:pStyle w:val="ListeParagraf"/>
        <w:numPr>
          <w:ilvl w:val="0"/>
          <w:numId w:val="1"/>
        </w:numPr>
        <w:bidi/>
        <w:spacing w:after="60"/>
        <w:jc w:val="both"/>
      </w:pPr>
      <w:r>
        <w:rPr>
          <w:rFonts w:ascii="Calibri" w:hAnsi="Calibri" w:cs="Arial"/>
          <w:rtl/>
          <w:sz w:val="24"/>
          <w:szCs w:val="24"/>
        </w:rPr>
        <w:t xml:space="preserve">تقارير التفتيش الرسمي والمراسلات</w:t>
      </w:r>
    </w:p>
    <w:p>
      <w:pPr>
        <w:pStyle w:val="ListeParagraf"/>
        <w:numPr>
          <w:ilvl w:val="0"/>
          <w:numId w:val="1"/>
        </w:numPr>
        <w:bidi/>
        <w:spacing w:after="60"/>
        <w:jc w:val="both"/>
      </w:pPr>
      <w:r>
        <w:rPr>
          <w:rFonts w:ascii="Calibri" w:hAnsi="Calibri" w:cs="Arial"/>
          <w:rtl/>
          <w:sz w:val="24"/>
          <w:szCs w:val="24"/>
        </w:rPr>
        <w:t xml:space="preserve">EMS.HK.POL.17.01. سياسة الامتثال القانوني</w:t>
      </w:r>
    </w:p>
    <w:p>
      <w:pPr>
        <w:pStyle w:val="ListeParagraf"/>
        <w:numPr>
          <w:ilvl w:val="0"/>
          <w:numId w:val="1"/>
        </w:numPr>
        <w:bidi/>
        <w:spacing w:after="60"/>
        <w:jc w:val="both"/>
      </w:pPr>
      <w:r>
        <w:rPr>
          <w:rFonts w:ascii="Calibri" w:hAnsi="Calibri" w:cs="Arial"/>
          <w:rtl/>
          <w:sz w:val="24"/>
          <w:szCs w:val="24"/>
        </w:rPr>
        <w:t xml:space="preserve">EMS.HK.PRO.17.02. إجراء متابعة التصاريح والتراخيص</w:t>
      </w:r>
    </w:p>
    <w:p>
      <w:pPr>
        <w:pStyle w:val="ListeParagraf"/>
        <w:numPr>
          <w:ilvl w:val="0"/>
          <w:numId w:val="1"/>
        </w:numPr>
        <w:bidi/>
        <w:spacing w:after="60"/>
        <w:jc w:val="both"/>
      </w:pPr>
      <w:r>
        <w:rPr>
          <w:rFonts w:ascii="Calibri" w:hAnsi="Calibri" w:cs="Arial"/>
          <w:rtl/>
          <w:sz w:val="24"/>
          <w:szCs w:val="24"/>
        </w:rPr>
        <w:t xml:space="preserve">EMS.YS.PRO.11.02. إجراء التدقيق الداخلي وعدم المطابقة والإجراءات التصحيحية</w:t>
      </w:r>
    </w:p>
    <w:p>
      <w:pPr>
        <w:pStyle w:val="ListeParagraf"/>
        <w:numPr>
          <w:ilvl w:val="0"/>
          <w:numId w:val="1"/>
        </w:numPr>
        <w:bidi/>
        <w:spacing w:after="60"/>
        <w:jc w:val="both"/>
      </w:pPr>
      <w:r>
        <w:rPr>
          <w:rFonts w:ascii="Calibri" w:hAnsi="Calibri" w:cs="Arial"/>
          <w:rtl/>
          <w:sz w:val="24"/>
          <w:szCs w:val="24"/>
        </w:rPr>
        <w:t xml:space="preserve">EMS OHS SP12 إجراء تقييم الامتثال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منسق الامتثال القانوني. وتُقيّم نتائج تقييمات الامتثال والتدقيقات والتفتيشات، ويُعدل الإجراء عند الحاجة.</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IDENTIFICATION AND EVALUATION OF LEGAL REQUIREMENTS PROCEDURE</w:t>
          </w:r>
        </w:p>
        <w:p>
          <w:pPr>
            <w:pStyle w:val="GvdeMetni2"/>
            <w:bidi/>
            <w:spacing w:line="276" w:lineRule="auto"/>
            <w:jc w:val="center"/>
          </w:pPr>
          <w:r>
            <w:rPr>
              <w:rFonts w:asciiTheme="minorHAnsi" w:hAnsiTheme="minorHAnsi" w:cs="Arial"/>
              <w:b/>
              <w:bCs/>
              <w:color w:val="000000" w:themeColor="text1"/>
              <w:sz w:val="22"/>
              <w:szCs w:val="22"/>
              <w:rtl/>
            </w:rPr>
            <w:t>إجراء تحديد المتطلبات القانونية وتقييم الامتثال لها</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EMS.HK.PRO.17.01.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EMS.HK.PRO.17.01. IDENTIFICATION AND EVALUATION OF LEGAL REQUIREMENTS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