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the permits, licences, certificates and official approvals required for the operations of Eroglu Knitting (EMS) are obtained, recorded, kept valid and renewed on time, so that the Company never operates without a valid permit.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permits, licences and certificates of the EMS facility, including the operating licence, industrial registration, civil defence approval, environmental approvals and wastewater discharge permit, boiler and pressure vessel certificates, lifting equipment certificates, generator and fuel storage permits, building permits and the licences of contracted waste carriers.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Legal Compliance Coordinator:</w:t>
      </w:r>
      <w:r>
        <w:rPr>
          <w:rFonts w:ascii="Calibri" w:hAnsi="Calibri" w:cs="Arial"/>
          <w:sz w:val="24"/>
          <w:szCs w:val="24"/>
        </w:rPr>
        <w:t xml:space="preserve"> Maintains the Permits and Licences List, follows expiry dates and coordinates renewals.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Responsible Department Managers:</w:t>
      </w:r>
      <w:r>
        <w:rPr>
          <w:rFonts w:ascii="Calibri" w:hAnsi="Calibri" w:cs="Arial"/>
          <w:sz w:val="24"/>
          <w:szCs w:val="24"/>
        </w:rPr>
        <w:t xml:space="preserve"> Prepare the documents needed for their permits, apply for renewal on time and implement the permit conditions.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Administration / Government Relations Officer:</w:t>
      </w:r>
      <w:r>
        <w:rPr>
          <w:rFonts w:ascii="Calibri" w:hAnsi="Calibri" w:cs="Arial"/>
          <w:sz w:val="24"/>
          <w:szCs w:val="24"/>
        </w:rPr>
        <w:t xml:space="preserve"> Submits applications to authorities and follows them until the permit is issued.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Signs applications, approves fees and is informed of any permit at risk of expiry.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Permit / Licence:</w:t>
      </w:r>
      <w:r>
        <w:rPr>
          <w:rFonts w:ascii="Calibri" w:hAnsi="Calibri" w:cs="Arial"/>
          <w:sz w:val="24"/>
          <w:szCs w:val="24"/>
        </w:rPr>
        <w:t xml:space="preserve"> An official document issued by an authority that allows the Company to carry out an activity or use a building or equipment.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Permit Condition:</w:t>
      </w:r>
      <w:r>
        <w:rPr>
          <w:rFonts w:ascii="Calibri" w:hAnsi="Calibri" w:cs="Arial"/>
          <w:sz w:val="24"/>
          <w:szCs w:val="24"/>
        </w:rPr>
        <w:t xml:space="preserve"> An obligation written in a permit, for example discharge limits, inspection intervals or capacity limits.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Renewal Lead Time:</w:t>
      </w:r>
      <w:r>
        <w:rPr>
          <w:rFonts w:ascii="Calibri" w:hAnsi="Calibri" w:cs="Arial"/>
          <w:sz w:val="24"/>
          <w:szCs w:val="24"/>
        </w:rPr>
        <w:t xml:space="preserve"> The period before expiry within which renewal must be started.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PERMITS AND LICENCES LIST</w:t>
      </w:r>
    </w:p>
    <w:p>
      <w:pPr>
        <w:pStyle w:val="ListeParagraf"/>
        <w:spacing w:after="80"/>
        <w:ind w:left="709" w:right="0"/>
        <w:jc w:val="both"/>
      </w:pPr>
      <w:r>
        <w:rPr>
          <w:rFonts w:ascii="Calibri" w:hAnsi="Calibri" w:cs="Arial"/>
          <w:sz w:val="24"/>
          <w:szCs w:val="24"/>
        </w:rPr>
        <w:t xml:space="preserve">1.1. All permits are recorded in the Permits and Licences List with the following information:</w:t>
      </w:r>
    </w:p>
    <w:p>
      <w:pPr>
        <w:pStyle w:val="ListeParagraf"/>
        <w:numPr>
          <w:ilvl w:val="0"/>
          <w:numId w:val="1"/>
        </w:numPr>
        <w:spacing w:after="60"/>
        <w:jc w:val="both"/>
      </w:pPr>
      <w:r>
        <w:rPr>
          <w:rFonts w:ascii="Calibri" w:hAnsi="Calibri" w:cs="Arial"/>
          <w:sz w:val="24"/>
          <w:szCs w:val="24"/>
        </w:rPr>
        <w:t xml:space="preserve">Name and number of the permit, issuing authority and issue date,</w:t>
      </w:r>
    </w:p>
    <w:p>
      <w:pPr>
        <w:pStyle w:val="ListeParagraf"/>
        <w:numPr>
          <w:ilvl w:val="0"/>
          <w:numId w:val="1"/>
        </w:numPr>
        <w:spacing w:after="60"/>
        <w:jc w:val="both"/>
      </w:pPr>
      <w:r>
        <w:rPr>
          <w:rFonts w:ascii="Calibri" w:hAnsi="Calibri" w:cs="Arial"/>
          <w:sz w:val="24"/>
          <w:szCs w:val="24"/>
        </w:rPr>
        <w:t xml:space="preserve">Expiry date and renewal lead time,</w:t>
      </w:r>
    </w:p>
    <w:p>
      <w:pPr>
        <w:pStyle w:val="ListeParagraf"/>
        <w:numPr>
          <w:ilvl w:val="0"/>
          <w:numId w:val="1"/>
        </w:numPr>
        <w:spacing w:after="60"/>
        <w:jc w:val="both"/>
      </w:pPr>
      <w:r>
        <w:rPr>
          <w:rFonts w:ascii="Calibri" w:hAnsi="Calibri" w:cs="Arial"/>
          <w:sz w:val="24"/>
          <w:szCs w:val="24"/>
        </w:rPr>
        <w:t xml:space="preserve">Responsible department and person,</w:t>
      </w:r>
    </w:p>
    <w:p>
      <w:pPr>
        <w:pStyle w:val="ListeParagraf"/>
        <w:numPr>
          <w:ilvl w:val="0"/>
          <w:numId w:val="1"/>
        </w:numPr>
        <w:spacing w:after="60"/>
        <w:jc w:val="both"/>
      </w:pPr>
      <w:r>
        <w:rPr>
          <w:rFonts w:ascii="Calibri" w:hAnsi="Calibri" w:cs="Arial"/>
          <w:sz w:val="24"/>
          <w:szCs w:val="24"/>
        </w:rPr>
        <w:t xml:space="preserve">Main permit conditions and location of the original document.</w:t>
      </w:r>
    </w:p>
    <w:p>
      <w:pPr>
        <w:pStyle w:val="ListeParagraf"/>
        <w:spacing w:after="80"/>
        <w:ind w:left="709" w:right="0"/>
        <w:jc w:val="both"/>
      </w:pPr>
      <w:r>
        <w:rPr>
          <w:rFonts w:ascii="Calibri" w:hAnsi="Calibri" w:cs="Arial"/>
          <w:sz w:val="24"/>
          <w:szCs w:val="24"/>
        </w:rPr>
        <w:t xml:space="preserve">1.2. Originals are kept in a locked file in the administration office; scanned copies are kept on the Company server.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NEW PERMITS</w:t>
      </w:r>
    </w:p>
    <w:p>
      <w:pPr>
        <w:pStyle w:val="ListeParagraf"/>
        <w:spacing w:after="80"/>
        <w:ind w:left="709" w:right="0"/>
        <w:jc w:val="both"/>
      </w:pPr>
      <w:r>
        <w:rPr>
          <w:rFonts w:ascii="Calibri" w:hAnsi="Calibri" w:cs="Arial"/>
          <w:sz w:val="24"/>
          <w:szCs w:val="24"/>
        </w:rPr>
        <w:t xml:space="preserve">2.1. Before a new activity, building, machine or major change (for example a new boiler, a new dyeing line or an extension), the related manager checks with the coordinator whether a permit is needed.</w:t>
      </w:r>
    </w:p>
    <w:p>
      <w:pPr>
        <w:pStyle w:val="ListeParagraf"/>
        <w:spacing w:after="80"/>
        <w:ind w:left="709" w:right="0"/>
        <w:jc w:val="both"/>
      </w:pPr>
      <w:r>
        <w:rPr>
          <w:rFonts w:ascii="Calibri" w:hAnsi="Calibri" w:cs="Arial"/>
          <w:sz w:val="24"/>
          <w:szCs w:val="24"/>
        </w:rPr>
        <w:t xml:space="preserve">2.2. The activity does not start until the required permit is obtained.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EXPIRY FOLLOW-UP AND RENEWAL</w:t>
      </w:r>
    </w:p>
    <w:p>
      <w:pPr>
        <w:pStyle w:val="ListeParagraf"/>
        <w:spacing w:after="80"/>
        <w:ind w:left="709" w:right="0"/>
        <w:jc w:val="both"/>
      </w:pPr>
      <w:r>
        <w:rPr>
          <w:rFonts w:ascii="Calibri" w:hAnsi="Calibri" w:cs="Arial"/>
          <w:sz w:val="24"/>
          <w:szCs w:val="24"/>
        </w:rPr>
        <w:t xml:space="preserve">3.1. The coordinator checks the list every month and sends a reminder to the responsible person 90 days before each expiry date (or earlier if the authority requires a longer lead time).</w:t>
      </w:r>
    </w:p>
    <w:p>
      <w:pPr>
        <w:pStyle w:val="ListeParagraf"/>
        <w:spacing w:after="80"/>
        <w:ind w:left="709" w:right="0"/>
        <w:jc w:val="both"/>
      </w:pPr>
      <w:r>
        <w:rPr>
          <w:rFonts w:ascii="Calibri" w:hAnsi="Calibri" w:cs="Arial"/>
          <w:sz w:val="24"/>
          <w:szCs w:val="24"/>
        </w:rPr>
        <w:t xml:space="preserve">3.2. The responsible department prepares the documents, inspection reports and fees and submits the renewal application at least 60 days before expiry.</w:t>
      </w:r>
    </w:p>
    <w:p>
      <w:pPr>
        <w:pStyle w:val="ListeParagraf"/>
        <w:spacing w:after="80"/>
        <w:ind w:left="709" w:right="0"/>
        <w:jc w:val="both"/>
      </w:pPr>
      <w:r>
        <w:rPr>
          <w:rFonts w:ascii="Calibri" w:hAnsi="Calibri" w:cs="Arial"/>
          <w:sz w:val="24"/>
          <w:szCs w:val="24"/>
        </w:rPr>
        <w:t xml:space="preserve">3.3. The status of each renewal is followed until the new permit is received; the list is updated and the new copy is filed.</w:t>
      </w:r>
    </w:p>
    <w:p>
      <w:pPr>
        <w:pStyle w:val="ListeParagraf"/>
        <w:spacing w:after="80"/>
        <w:ind w:left="709" w:right="0"/>
        <w:jc w:val="both"/>
      </w:pPr>
      <w:r>
        <w:rPr>
          <w:rFonts w:ascii="Calibri" w:hAnsi="Calibri" w:cs="Arial"/>
          <w:sz w:val="24"/>
          <w:szCs w:val="24"/>
        </w:rPr>
        <w:t xml:space="preserve">3.4. If a permit is at risk of expiring, the General Manager is informed immediately and actions are taken to stop the related activity if required.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PERMIT CONDITIONS</w:t>
      </w:r>
    </w:p>
    <w:p>
      <w:pPr>
        <w:pStyle w:val="ListeParagraf"/>
        <w:spacing w:after="80"/>
        <w:ind w:left="709" w:right="0"/>
        <w:jc w:val="both"/>
      </w:pPr>
      <w:r>
        <w:rPr>
          <w:rFonts w:ascii="Calibri" w:hAnsi="Calibri" w:cs="Arial"/>
          <w:sz w:val="24"/>
          <w:szCs w:val="24"/>
        </w:rPr>
        <w:t xml:space="preserve">4.1. Conditions in each permit are added to the Legal Requirements Register and included in compliance evaluations.</w:t>
      </w:r>
    </w:p>
    <w:p>
      <w:pPr>
        <w:pStyle w:val="ListeParagraf"/>
        <w:spacing w:after="80"/>
        <w:ind w:left="709" w:right="0"/>
        <w:jc w:val="both"/>
      </w:pPr>
      <w:r>
        <w:rPr>
          <w:rFonts w:ascii="Calibri" w:hAnsi="Calibri" w:cs="Arial"/>
          <w:sz w:val="24"/>
          <w:szCs w:val="24"/>
        </w:rPr>
        <w:t xml:space="preserve">4.2. Required measurements and inspections (for example wastewater analysis, boiler inspections, fire system checks) are planned and their reports are kept.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The coordinator reports the following indicators every quarter and in the management review:</w:t>
      </w:r>
    </w:p>
    <w:p>
      <w:pPr>
        <w:pStyle w:val="ListeParagraf"/>
        <w:numPr>
          <w:ilvl w:val="0"/>
          <w:numId w:val="1"/>
        </w:numPr>
        <w:spacing w:after="60"/>
        <w:jc w:val="both"/>
      </w:pPr>
      <w:r>
        <w:rPr>
          <w:rFonts w:ascii="Calibri" w:hAnsi="Calibri" w:cs="Arial"/>
          <w:sz w:val="24"/>
          <w:szCs w:val="24"/>
        </w:rPr>
        <w:t xml:space="preserve">Number of valid permits / total permits (%),</w:t>
      </w:r>
    </w:p>
    <w:p>
      <w:pPr>
        <w:pStyle w:val="ListeParagraf"/>
        <w:numPr>
          <w:ilvl w:val="0"/>
          <w:numId w:val="1"/>
        </w:numPr>
        <w:spacing w:after="60"/>
        <w:jc w:val="both"/>
      </w:pPr>
      <w:r>
        <w:rPr>
          <w:rFonts w:ascii="Calibri" w:hAnsi="Calibri" w:cs="Arial"/>
          <w:sz w:val="24"/>
          <w:szCs w:val="24"/>
        </w:rPr>
        <w:t xml:space="preserve">Number of renewals submitted on time,</w:t>
      </w:r>
    </w:p>
    <w:p>
      <w:pPr>
        <w:pStyle w:val="ListeParagraf"/>
        <w:numPr>
          <w:ilvl w:val="0"/>
          <w:numId w:val="1"/>
        </w:numPr>
        <w:spacing w:after="60"/>
        <w:jc w:val="both"/>
      </w:pPr>
      <w:r>
        <w:rPr>
          <w:rFonts w:ascii="Calibri" w:hAnsi="Calibri" w:cs="Arial"/>
          <w:sz w:val="24"/>
          <w:szCs w:val="24"/>
        </w:rPr>
        <w:t xml:space="preserve">Number of permits expired or penalties received (target: zero).</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Permits and Licences List</w:t>
      </w:r>
    </w:p>
    <w:p>
      <w:pPr>
        <w:pStyle w:val="ListeParagraf"/>
        <w:numPr>
          <w:ilvl w:val="0"/>
          <w:numId w:val="1"/>
        </w:numPr>
        <w:spacing w:after="60"/>
        <w:jc w:val="both"/>
      </w:pPr>
      <w:r>
        <w:rPr>
          <w:rFonts w:ascii="Calibri" w:hAnsi="Calibri" w:cs="Arial"/>
          <w:sz w:val="24"/>
          <w:szCs w:val="24"/>
        </w:rPr>
        <w:t xml:space="preserve">Copies of permits, licences and certificates</w:t>
      </w:r>
    </w:p>
    <w:p>
      <w:pPr>
        <w:pStyle w:val="ListeParagraf"/>
        <w:numPr>
          <w:ilvl w:val="0"/>
          <w:numId w:val="1"/>
        </w:numPr>
        <w:spacing w:after="60"/>
        <w:jc w:val="both"/>
      </w:pPr>
      <w:r>
        <w:rPr>
          <w:rFonts w:ascii="Calibri" w:hAnsi="Calibri" w:cs="Arial"/>
          <w:sz w:val="24"/>
          <w:szCs w:val="24"/>
        </w:rPr>
        <w:t xml:space="preserve">Renewal applications and correspondence with authorities</w:t>
      </w:r>
    </w:p>
    <w:p>
      <w:pPr>
        <w:pStyle w:val="ListeParagraf"/>
        <w:numPr>
          <w:ilvl w:val="0"/>
          <w:numId w:val="1"/>
        </w:numPr>
        <w:spacing w:after="60"/>
        <w:jc w:val="both"/>
      </w:pPr>
      <w:r>
        <w:rPr>
          <w:rFonts w:ascii="Calibri" w:hAnsi="Calibri" w:cs="Arial"/>
          <w:sz w:val="24"/>
          <w:szCs w:val="24"/>
        </w:rPr>
        <w:t xml:space="preserve">EMS.HK.PRO.17.01. Identification and Evaluation of Legal Requirements Procedure</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numPr>
          <w:ilvl w:val="0"/>
          <w:numId w:val="1"/>
        </w:numPr>
        <w:spacing w:after="60"/>
        <w:jc w:val="both"/>
      </w:pPr>
      <w:r>
        <w:rPr>
          <w:rFonts w:ascii="Calibri" w:hAnsi="Calibri" w:cs="Arial"/>
          <w:sz w:val="24"/>
          <w:szCs w:val="24"/>
        </w:rPr>
        <w:t xml:space="preserve">EMS.SS.PRO.10.01. Fire Prevention and Firefighting Equipment Control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Legal Compliance Coordinator. Problems in renewals, inspection findings and suggestions from departments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الحصول على التصاريح والتراخيص والشهادات والموافقات الرسمية اللازمة لعمليات شركة إيروغلو للتريكو (EMS) وتسجيلها والحفاظ على سريانها وتجديدها في الوقت المحدد، بحيث لا تعمل الشركة أبدًا دون تصريح ساري.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تصاريح وتراخيص وشهادات منشأة EMS، بما في ذلك رخصة التشغيل والسجل الصناعي وموافقة الدفاع المدني والموافقات البيئية وتصريح صرف المياه، وشهادات الغلايات وأوعية الضغط، وشهادات معدات الرفع، وتصاريح المولدات وتخزين الوقود، وتراخيص المباني، وتراخيص ناقلي النفايات المتعاقد معهم.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الامتثال القانوني:</w:t>
      </w:r>
      <w:r>
        <w:rPr>
          <w:rFonts w:ascii="Calibri" w:hAnsi="Calibri" w:cs="Arial"/>
          <w:rtl/>
          <w:sz w:val="24"/>
          <w:szCs w:val="24"/>
        </w:rPr>
        <w:t xml:space="preserve"> يحتفظ بقائمة التصاريح والتراخيص، ويتابع تواريخ الانتهاء، وينسق عمليات التجديد.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 المسؤولة:</w:t>
      </w:r>
      <w:r>
        <w:rPr>
          <w:rFonts w:ascii="Calibri" w:hAnsi="Calibri" w:cs="Arial"/>
          <w:rtl/>
          <w:sz w:val="24"/>
          <w:szCs w:val="24"/>
        </w:rPr>
        <w:t xml:space="preserve"> يعدون المستندات اللازمة لتصاريحهم، ويتقدمون بطلب التجديد في الوقت المحدد، ويطبقون شروط التصريح.</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الشؤون الإدارية / العلاقات الحكومية:</w:t>
      </w:r>
      <w:r>
        <w:rPr>
          <w:rFonts w:ascii="Calibri" w:hAnsi="Calibri" w:cs="Arial"/>
          <w:rtl/>
          <w:sz w:val="24"/>
          <w:szCs w:val="24"/>
        </w:rPr>
        <w:t xml:space="preserve"> يقدم الطلبات إلى الجهات المختصة ويتابعها حتى صدور التصريح.</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يوقع الطلبات، ويعتمد الرسوم، ويُبلغ بأي تصريح معرض لخطر الانتهاء.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التصريح / الترخيص:</w:t>
      </w:r>
      <w:r>
        <w:rPr>
          <w:rFonts w:ascii="Calibri" w:hAnsi="Calibri" w:cs="Arial"/>
          <w:rtl/>
          <w:sz w:val="24"/>
          <w:szCs w:val="24"/>
        </w:rPr>
        <w:t xml:space="preserve"> وثيقة رسمية تصدرها جهة مختصة تسمح للشركة بممارسة نشاط أو استخدام مبنى أو معدة.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شرط التصريح:</w:t>
      </w:r>
      <w:r>
        <w:rPr>
          <w:rFonts w:ascii="Calibri" w:hAnsi="Calibri" w:cs="Arial"/>
          <w:rtl/>
          <w:sz w:val="24"/>
          <w:szCs w:val="24"/>
        </w:rPr>
        <w:t xml:space="preserve"> التزام مدون في التصريح، مثل حدود الصرف أو فترات الفحص أو حدود الطاقة الاستيعابية.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مهلة التجديد:</w:t>
      </w:r>
      <w:r>
        <w:rPr>
          <w:rFonts w:ascii="Calibri" w:hAnsi="Calibri" w:cs="Arial"/>
          <w:rtl/>
          <w:sz w:val="24"/>
          <w:szCs w:val="24"/>
        </w:rPr>
        <w:t xml:space="preserve"> الفترة السابقة لتاريخ الانتهاء التي يجب خلالها بدء التجديد.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قائمة التصاريح والتراخيص</w:t>
      </w:r>
    </w:p>
    <w:p>
      <w:pPr>
        <w:pStyle w:val="ListeParagraf"/>
        <w:bidi/>
        <w:spacing w:after="80"/>
        <w:ind w:left="0" w:right="709"/>
        <w:jc w:val="both"/>
      </w:pPr>
      <w:r>
        <w:rPr>
          <w:rFonts w:ascii="Calibri" w:hAnsi="Calibri" w:cs="Arial"/>
          <w:rtl/>
          <w:sz w:val="24"/>
          <w:szCs w:val="24"/>
        </w:rPr>
        <w:t xml:space="preserve">1.1. تُسجل جميع التصاريح في قائمة التصاريح والتراخيص مع المعلومات التالية:</w:t>
      </w:r>
    </w:p>
    <w:p>
      <w:pPr>
        <w:pStyle w:val="ListeParagraf"/>
        <w:numPr>
          <w:ilvl w:val="0"/>
          <w:numId w:val="1"/>
        </w:numPr>
        <w:bidi/>
        <w:spacing w:after="60"/>
        <w:jc w:val="both"/>
      </w:pPr>
      <w:r>
        <w:rPr>
          <w:rFonts w:ascii="Calibri" w:hAnsi="Calibri" w:cs="Arial"/>
          <w:rtl/>
          <w:sz w:val="24"/>
          <w:szCs w:val="24"/>
        </w:rPr>
        <w:t xml:space="preserve">اسم التصريح ورقمه والجهة المصدرة وتاريخ الإصدار،</w:t>
      </w:r>
    </w:p>
    <w:p>
      <w:pPr>
        <w:pStyle w:val="ListeParagraf"/>
        <w:numPr>
          <w:ilvl w:val="0"/>
          <w:numId w:val="1"/>
        </w:numPr>
        <w:bidi/>
        <w:spacing w:after="60"/>
        <w:jc w:val="both"/>
      </w:pPr>
      <w:r>
        <w:rPr>
          <w:rFonts w:ascii="Calibri" w:hAnsi="Calibri" w:cs="Arial"/>
          <w:rtl/>
          <w:sz w:val="24"/>
          <w:szCs w:val="24"/>
        </w:rPr>
        <w:t xml:space="preserve">تاريخ الانتهاء ومهلة التجديد،</w:t>
      </w:r>
    </w:p>
    <w:p>
      <w:pPr>
        <w:pStyle w:val="ListeParagraf"/>
        <w:numPr>
          <w:ilvl w:val="0"/>
          <w:numId w:val="1"/>
        </w:numPr>
        <w:bidi/>
        <w:spacing w:after="60"/>
        <w:jc w:val="both"/>
      </w:pPr>
      <w:r>
        <w:rPr>
          <w:rFonts w:ascii="Calibri" w:hAnsi="Calibri" w:cs="Arial"/>
          <w:rtl/>
          <w:sz w:val="24"/>
          <w:szCs w:val="24"/>
        </w:rPr>
        <w:t xml:space="preserve">القسم والشخص المسؤول،</w:t>
      </w:r>
    </w:p>
    <w:p>
      <w:pPr>
        <w:pStyle w:val="ListeParagraf"/>
        <w:numPr>
          <w:ilvl w:val="0"/>
          <w:numId w:val="1"/>
        </w:numPr>
        <w:bidi/>
        <w:spacing w:after="60"/>
        <w:jc w:val="both"/>
      </w:pPr>
      <w:r>
        <w:rPr>
          <w:rFonts w:ascii="Calibri" w:hAnsi="Calibri" w:cs="Arial"/>
          <w:rtl/>
          <w:sz w:val="24"/>
          <w:szCs w:val="24"/>
        </w:rPr>
        <w:t xml:space="preserve">شروط التصريح الرئيسية ومكان حفظ الوثيقة الأصلية.</w:t>
      </w:r>
    </w:p>
    <w:p>
      <w:pPr>
        <w:pStyle w:val="ListeParagraf"/>
        <w:bidi/>
        <w:spacing w:after="80"/>
        <w:ind w:left="0" w:right="709"/>
        <w:jc w:val="both"/>
      </w:pPr>
      <w:r>
        <w:rPr>
          <w:rFonts w:ascii="Calibri" w:hAnsi="Calibri" w:cs="Arial"/>
          <w:rtl/>
          <w:sz w:val="24"/>
          <w:szCs w:val="24"/>
        </w:rPr>
        <w:t xml:space="preserve">1.2. تُحفظ الأصول في ملف مقفل في المكتب الإداري، وتُحفظ النسخ الممسوحة ضوئيًا على خادم الشركة.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التصاريح الجديدة</w:t>
      </w:r>
    </w:p>
    <w:p>
      <w:pPr>
        <w:pStyle w:val="ListeParagraf"/>
        <w:bidi/>
        <w:spacing w:after="80"/>
        <w:ind w:left="0" w:right="709"/>
        <w:jc w:val="both"/>
      </w:pPr>
      <w:r>
        <w:rPr>
          <w:rFonts w:ascii="Calibri" w:hAnsi="Calibri" w:cs="Arial"/>
          <w:rtl/>
          <w:sz w:val="24"/>
          <w:szCs w:val="24"/>
        </w:rPr>
        <w:t xml:space="preserve">2.1. قبل أي نشاط أو مبنى أو آلة جديدة أو تغيير كبير (مثل غلاية جديدة أو خط صباغة جديد أو توسعة)، يتحقق المدير المعني مع المنسق مما إذا كان التصريح مطلوبًا.</w:t>
      </w:r>
    </w:p>
    <w:p>
      <w:pPr>
        <w:pStyle w:val="ListeParagraf"/>
        <w:bidi/>
        <w:spacing w:after="80"/>
        <w:ind w:left="0" w:right="709"/>
        <w:jc w:val="both"/>
      </w:pPr>
      <w:r>
        <w:rPr>
          <w:rFonts w:ascii="Calibri" w:hAnsi="Calibri" w:cs="Arial"/>
          <w:rtl/>
          <w:sz w:val="24"/>
          <w:szCs w:val="24"/>
        </w:rPr>
        <w:t xml:space="preserve">2.2. لا يبدأ النشاط حتى يتم الحصول على التصريح المطلوب.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متابعة الانتهاء والتجديد</w:t>
      </w:r>
    </w:p>
    <w:p>
      <w:pPr>
        <w:pStyle w:val="ListeParagraf"/>
        <w:bidi/>
        <w:spacing w:after="80"/>
        <w:ind w:left="0" w:right="709"/>
        <w:jc w:val="both"/>
      </w:pPr>
      <w:r>
        <w:rPr>
          <w:rFonts w:ascii="Calibri" w:hAnsi="Calibri" w:cs="Arial"/>
          <w:rtl/>
          <w:sz w:val="24"/>
          <w:szCs w:val="24"/>
        </w:rPr>
        <w:t xml:space="preserve">3.1. يراجع المنسق القائمة شهريًا، ويرسل تذكيرًا إلى الشخص المسؤول قبل 90 يومًا من كل تاريخ انتهاء (أو قبل ذلك إذا اشترطت الجهة المختصة مهلة أطول).</w:t>
      </w:r>
    </w:p>
    <w:p>
      <w:pPr>
        <w:pStyle w:val="ListeParagraf"/>
        <w:bidi/>
        <w:spacing w:after="80"/>
        <w:ind w:left="0" w:right="709"/>
        <w:jc w:val="both"/>
      </w:pPr>
      <w:r>
        <w:rPr>
          <w:rFonts w:ascii="Calibri" w:hAnsi="Calibri" w:cs="Arial"/>
          <w:rtl/>
          <w:sz w:val="24"/>
          <w:szCs w:val="24"/>
        </w:rPr>
        <w:t xml:space="preserve">3.2. يعد القسم المسؤول المستندات وتقارير الفحص والرسوم، ويقدم طلب التجديد قبل 60 يومًا على الأقل من تاريخ الانتهاء.</w:t>
      </w:r>
    </w:p>
    <w:p>
      <w:pPr>
        <w:pStyle w:val="ListeParagraf"/>
        <w:bidi/>
        <w:spacing w:after="80"/>
        <w:ind w:left="0" w:right="709"/>
        <w:jc w:val="both"/>
      </w:pPr>
      <w:r>
        <w:rPr>
          <w:rFonts w:ascii="Calibri" w:hAnsi="Calibri" w:cs="Arial"/>
          <w:rtl/>
          <w:sz w:val="24"/>
          <w:szCs w:val="24"/>
        </w:rPr>
        <w:t xml:space="preserve">3.3. تُتابع حالة كل تجديد حتى استلام التصريح الجديد، وتُحدث القائمة وتُحفظ النسخة الجديدة.</w:t>
      </w:r>
    </w:p>
    <w:p>
      <w:pPr>
        <w:pStyle w:val="ListeParagraf"/>
        <w:bidi/>
        <w:spacing w:after="80"/>
        <w:ind w:left="0" w:right="709"/>
        <w:jc w:val="both"/>
      </w:pPr>
      <w:r>
        <w:rPr>
          <w:rFonts w:ascii="Calibri" w:hAnsi="Calibri" w:cs="Arial"/>
          <w:rtl/>
          <w:sz w:val="24"/>
          <w:szCs w:val="24"/>
        </w:rPr>
        <w:t xml:space="preserve">3.4. إذا كان تصريح معرضًا لخطر الانتهاء، يُبلغ المدير العام فورًا وتُتخذ الإجراءات اللازمة لإيقاف النشاط المعني إذا لزم الأمر.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شروط التصاريح</w:t>
      </w:r>
    </w:p>
    <w:p>
      <w:pPr>
        <w:pStyle w:val="ListeParagraf"/>
        <w:bidi/>
        <w:spacing w:after="80"/>
        <w:ind w:left="0" w:right="709"/>
        <w:jc w:val="both"/>
      </w:pPr>
      <w:r>
        <w:rPr>
          <w:rFonts w:ascii="Calibri" w:hAnsi="Calibri" w:cs="Arial"/>
          <w:rtl/>
          <w:sz w:val="24"/>
          <w:szCs w:val="24"/>
        </w:rPr>
        <w:t xml:space="preserve">4.1. تُضاف الشروط الواردة في كل تصريح إلى سجل المتطلبات القانونية وتُدرج في تقييمات الامتثال.</w:t>
      </w:r>
    </w:p>
    <w:p>
      <w:pPr>
        <w:pStyle w:val="ListeParagraf"/>
        <w:bidi/>
        <w:spacing w:after="80"/>
        <w:ind w:left="0" w:right="709"/>
        <w:jc w:val="both"/>
      </w:pPr>
      <w:r>
        <w:rPr>
          <w:rFonts w:ascii="Calibri" w:hAnsi="Calibri" w:cs="Arial"/>
          <w:rtl/>
          <w:sz w:val="24"/>
          <w:szCs w:val="24"/>
        </w:rPr>
        <w:t xml:space="preserve">4.2. تُخطط القياسات والفحوصات المطلوبة (مثل تحليل مياه الصرف وفحوصات الغلايات وفحوصات أنظمة الحريق) وتُحفظ تقاريرها.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يرفع المنسق المؤشرات التالية كل ربع سنة وفي مراجعة الإدارة:</w:t>
      </w:r>
    </w:p>
    <w:p>
      <w:pPr>
        <w:pStyle w:val="ListeParagraf"/>
        <w:numPr>
          <w:ilvl w:val="0"/>
          <w:numId w:val="1"/>
        </w:numPr>
        <w:bidi/>
        <w:spacing w:after="60"/>
        <w:jc w:val="both"/>
      </w:pPr>
      <w:r>
        <w:rPr>
          <w:rFonts w:ascii="Calibri" w:hAnsi="Calibri" w:cs="Arial"/>
          <w:rtl/>
          <w:sz w:val="24"/>
          <w:szCs w:val="24"/>
        </w:rPr>
        <w:t xml:space="preserve">عدد التصاريح السارية / إجمالي التصاريح (%)،</w:t>
      </w:r>
    </w:p>
    <w:p>
      <w:pPr>
        <w:pStyle w:val="ListeParagraf"/>
        <w:numPr>
          <w:ilvl w:val="0"/>
          <w:numId w:val="1"/>
        </w:numPr>
        <w:bidi/>
        <w:spacing w:after="60"/>
        <w:jc w:val="both"/>
      </w:pPr>
      <w:r>
        <w:rPr>
          <w:rFonts w:ascii="Calibri" w:hAnsi="Calibri" w:cs="Arial"/>
          <w:rtl/>
          <w:sz w:val="24"/>
          <w:szCs w:val="24"/>
        </w:rPr>
        <w:t xml:space="preserve">عدد طلبات التجديد المقدمة في الوقت المحدد،</w:t>
      </w:r>
    </w:p>
    <w:p>
      <w:pPr>
        <w:pStyle w:val="ListeParagraf"/>
        <w:numPr>
          <w:ilvl w:val="0"/>
          <w:numId w:val="1"/>
        </w:numPr>
        <w:bidi/>
        <w:spacing w:after="60"/>
        <w:jc w:val="both"/>
      </w:pPr>
      <w:r>
        <w:rPr>
          <w:rFonts w:ascii="Calibri" w:hAnsi="Calibri" w:cs="Arial"/>
          <w:rtl/>
          <w:sz w:val="24"/>
          <w:szCs w:val="24"/>
        </w:rPr>
        <w:t xml:space="preserve">عدد التصاريح المنتهية أو الغرامات المفروضة (الهدف: صفر).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قائمة التصاريح والتراخيص</w:t>
      </w:r>
    </w:p>
    <w:p>
      <w:pPr>
        <w:pStyle w:val="ListeParagraf"/>
        <w:numPr>
          <w:ilvl w:val="0"/>
          <w:numId w:val="1"/>
        </w:numPr>
        <w:bidi/>
        <w:spacing w:after="60"/>
        <w:jc w:val="both"/>
      </w:pPr>
      <w:r>
        <w:rPr>
          <w:rFonts w:ascii="Calibri" w:hAnsi="Calibri" w:cs="Arial"/>
          <w:rtl/>
          <w:sz w:val="24"/>
          <w:szCs w:val="24"/>
        </w:rPr>
        <w:t xml:space="preserve">نسخ التصاريح والتراخيص والشهادات</w:t>
      </w:r>
    </w:p>
    <w:p>
      <w:pPr>
        <w:pStyle w:val="ListeParagraf"/>
        <w:numPr>
          <w:ilvl w:val="0"/>
          <w:numId w:val="1"/>
        </w:numPr>
        <w:bidi/>
        <w:spacing w:after="60"/>
        <w:jc w:val="both"/>
      </w:pPr>
      <w:r>
        <w:rPr>
          <w:rFonts w:ascii="Calibri" w:hAnsi="Calibri" w:cs="Arial"/>
          <w:rtl/>
          <w:sz w:val="24"/>
          <w:szCs w:val="24"/>
        </w:rPr>
        <w:t xml:space="preserve">طلبات التجديد والمراسلات مع الجهات المختصة</w:t>
      </w:r>
    </w:p>
    <w:p>
      <w:pPr>
        <w:pStyle w:val="ListeParagraf"/>
        <w:numPr>
          <w:ilvl w:val="0"/>
          <w:numId w:val="1"/>
        </w:numPr>
        <w:bidi/>
        <w:spacing w:after="60"/>
        <w:jc w:val="both"/>
      </w:pPr>
      <w:r>
        <w:rPr>
          <w:rFonts w:ascii="Calibri" w:hAnsi="Calibri" w:cs="Arial"/>
          <w:rtl/>
          <w:sz w:val="24"/>
          <w:szCs w:val="24"/>
        </w:rPr>
        <w:t xml:space="preserve">EMS.HK.PRO.17.01. إجراء تحديد المتطلبات القانونية وتقييم الامتثال لها</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numPr>
          <w:ilvl w:val="0"/>
          <w:numId w:val="1"/>
        </w:numPr>
        <w:bidi/>
        <w:spacing w:after="60"/>
        <w:jc w:val="both"/>
      </w:pPr>
      <w:r>
        <w:rPr>
          <w:rFonts w:ascii="Calibri" w:hAnsi="Calibri" w:cs="Arial"/>
          <w:rtl/>
          <w:sz w:val="24"/>
          <w:szCs w:val="24"/>
        </w:rPr>
        <w:t xml:space="preserve">EMS.SS.PRO.10.01. إجراء الوقاية من الحريق وفحص معدات مكافحة الحريق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منسق الامتثال القانوني. وتُقيّم المشكلات في عمليات التجديد وملاحظات الفحص واقتراحات الأقسام، ويُعدل الإجراء عند الحاجة.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PERMITS AND LICENCES FOLLOW-UP PROCEDURE</w:t>
          </w:r>
        </w:p>
        <w:p>
          <w:pPr>
            <w:pStyle w:val="GvdeMetni2"/>
            <w:bidi/>
            <w:spacing w:line="276" w:lineRule="auto"/>
            <w:jc w:val="center"/>
          </w:pPr>
          <w:r>
            <w:rPr>
              <w:rFonts w:asciiTheme="minorHAnsi" w:hAnsiTheme="minorHAnsi" w:cs="Arial"/>
              <w:b/>
              <w:bCs/>
              <w:color w:val="000000" w:themeColor="text1"/>
              <w:sz w:val="22"/>
              <w:szCs w:val="22"/>
              <w:rtl/>
            </w:rPr>
            <w:t>إجراء متابعة التصاريح والتراخيص</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EMS.HK.PRO.17.02.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EMS.HK.PRO.17.02. PERMITS AND LICENCES FOLLOW-UP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