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to respond safely to a small chemical spill using the spill kit at Eroglu Knitting (EMS), in order to protect people, prevent the chemical from reaching drains and soil, and dispose of the waste correctly.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small spills (that can be safely controlled by trained staff with a spill kit) in the chemical store, colour kitchen, dyehouse, printing, laboratory, maintenance and wastewater plant. Large spills are handled according to the Chemical Spill SERP and the emergency response plan.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Manager:</w:t>
      </w:r>
      <w:r>
        <w:rPr>
          <w:rFonts w:ascii="Calibri" w:hAnsi="Calibri" w:cs="Arial"/>
          <w:sz w:val="24"/>
          <w:szCs w:val="24"/>
        </w:rPr>
        <w:t xml:space="preserve"> Locates spill kits, defines their content and checks them every month.</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Trained Spill Responders:</w:t>
      </w:r>
      <w:r>
        <w:rPr>
          <w:rFonts w:ascii="Calibri" w:hAnsi="Calibri" w:cs="Arial"/>
          <w:sz w:val="24"/>
          <w:szCs w:val="24"/>
        </w:rPr>
        <w:t xml:space="preserve"> Control and clean small spills according to this instruction.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All Workers:</w:t>
      </w:r>
      <w:r>
        <w:rPr>
          <w:rFonts w:ascii="Calibri" w:hAnsi="Calibri" w:cs="Arial"/>
          <w:sz w:val="24"/>
          <w:szCs w:val="24"/>
        </w:rPr>
        <w:t xml:space="preserve"> Raise the alarm, keep away from the spill and inform the supervisor.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SPILL KIT CONTENT</w:t>
      </w:r>
    </w:p>
    <w:p>
      <w:pPr>
        <w:pStyle w:val="ListeParagraf"/>
        <w:spacing w:after="80"/>
        <w:ind w:left="709" w:right="0"/>
        <w:jc w:val="both"/>
      </w:pPr>
      <w:r>
        <w:rPr>
          <w:rFonts w:ascii="Calibri" w:hAnsi="Calibri" w:cs="Arial"/>
          <w:sz w:val="24"/>
          <w:szCs w:val="24"/>
        </w:rPr>
        <w:t xml:space="preserve">1.1. Each kit contains: absorbent pads and socks, granular absorbent, drain cover, chemical-resistant gloves, goggles, apron, mask, scoop and brush, waste bags with hazardous waste labels and a content list.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RESPONSE STEPS</w:t>
      </w:r>
    </w:p>
    <w:p>
      <w:pPr>
        <w:pStyle w:val="ListeParagraf"/>
        <w:spacing w:after="80"/>
        <w:ind w:left="709" w:right="0"/>
        <w:jc w:val="both"/>
      </w:pPr>
      <w:r>
        <w:rPr>
          <w:rFonts w:ascii="Calibri" w:hAnsi="Calibri" w:cs="Arial"/>
          <w:sz w:val="24"/>
          <w:szCs w:val="24"/>
        </w:rPr>
        <w:t xml:space="preserve">2.1. Warn people nearby, stop the source if safe (close the valve, turn the container upright) and inform the supervisor.</w:t>
      </w:r>
    </w:p>
    <w:p>
      <w:pPr>
        <w:pStyle w:val="ListeParagraf"/>
        <w:spacing w:after="80"/>
        <w:ind w:left="709" w:right="0"/>
        <w:jc w:val="both"/>
      </w:pPr>
      <w:r>
        <w:rPr>
          <w:rFonts w:ascii="Calibri" w:hAnsi="Calibri" w:cs="Arial"/>
          <w:sz w:val="24"/>
          <w:szCs w:val="24"/>
        </w:rPr>
        <w:t xml:space="preserve">2.2. Identify the chemical from the label or SDS; if it is unknown, flammable with ignition risk, or giving off fumes, do not approach: evacuate and call the emergency team.</w:t>
      </w:r>
    </w:p>
    <w:p>
      <w:pPr>
        <w:pStyle w:val="ListeParagraf"/>
        <w:spacing w:after="80"/>
        <w:ind w:left="709" w:right="0"/>
        <w:jc w:val="both"/>
      </w:pPr>
      <w:r>
        <w:rPr>
          <w:rFonts w:ascii="Calibri" w:hAnsi="Calibri" w:cs="Arial"/>
          <w:sz w:val="24"/>
          <w:szCs w:val="24"/>
        </w:rPr>
        <w:t xml:space="preserve">2.3. Put on the PPE from the kit before approaching.</w:t>
      </w:r>
    </w:p>
    <w:p>
      <w:pPr>
        <w:pStyle w:val="ListeParagraf"/>
        <w:spacing w:after="80"/>
        <w:ind w:left="709" w:right="0"/>
        <w:jc w:val="both"/>
      </w:pPr>
      <w:r>
        <w:rPr>
          <w:rFonts w:ascii="Calibri" w:hAnsi="Calibri" w:cs="Arial"/>
          <w:sz w:val="24"/>
          <w:szCs w:val="24"/>
        </w:rPr>
        <w:t xml:space="preserve">2.4. Cover nearby drains with the drain cover and surround the spill with absorbent socks to stop it spreading.</w:t>
      </w:r>
    </w:p>
    <w:p>
      <w:pPr>
        <w:pStyle w:val="ListeParagraf"/>
        <w:spacing w:after="80"/>
        <w:ind w:left="709" w:right="0"/>
        <w:jc w:val="both"/>
      </w:pPr>
      <w:r>
        <w:rPr>
          <w:rFonts w:ascii="Calibri" w:hAnsi="Calibri" w:cs="Arial"/>
          <w:sz w:val="24"/>
          <w:szCs w:val="24"/>
        </w:rPr>
        <w:t xml:space="preserve">2.5. Place absorbent pads or granules on the spill, working from the outside towards the centre.</w:t>
      </w:r>
    </w:p>
    <w:p>
      <w:pPr>
        <w:pStyle w:val="ListeParagraf"/>
        <w:spacing w:after="80"/>
        <w:ind w:left="709" w:right="0"/>
        <w:jc w:val="both"/>
      </w:pPr>
      <w:r>
        <w:rPr>
          <w:rFonts w:ascii="Calibri" w:hAnsi="Calibri" w:cs="Arial"/>
          <w:sz w:val="24"/>
          <w:szCs w:val="24"/>
        </w:rPr>
        <w:t xml:space="preserve">2.6. Collect the used absorbent with the scoop into the waste bag, close it, label it as hazardous waste and take it to the hazardous waste storage area.</w:t>
      </w:r>
    </w:p>
    <w:p>
      <w:pPr>
        <w:pStyle w:val="ListeParagraf"/>
        <w:spacing w:after="80"/>
        <w:ind w:left="709" w:right="0"/>
        <w:jc w:val="both"/>
      </w:pPr>
      <w:r>
        <w:rPr>
          <w:rFonts w:ascii="Calibri" w:hAnsi="Calibri" w:cs="Arial"/>
          <w:sz w:val="24"/>
          <w:szCs w:val="24"/>
        </w:rPr>
        <w:t xml:space="preserve">2.7. Clean the area with water and detergent only if the SDS allows it, and collect the washing water.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SAFETY RULES / PROHIBITIONS</w:t>
      </w:r>
    </w:p>
    <w:p>
      <w:pPr>
        <w:pStyle w:val="ListeParagraf"/>
        <w:numPr>
          <w:ilvl w:val="0"/>
          <w:numId w:val="1"/>
        </w:numPr>
        <w:spacing w:after="60"/>
        <w:jc w:val="both"/>
      </w:pPr>
      <w:r>
        <w:rPr>
          <w:rFonts w:ascii="Calibri" w:hAnsi="Calibri" w:cs="Arial"/>
          <w:sz w:val="24"/>
          <w:szCs w:val="24"/>
        </w:rPr>
        <w:t xml:space="preserve">Do not wash a spill into the drain or onto soil.</w:t>
      </w:r>
    </w:p>
    <w:p>
      <w:pPr>
        <w:pStyle w:val="ListeParagraf"/>
        <w:numPr>
          <w:ilvl w:val="0"/>
          <w:numId w:val="1"/>
        </w:numPr>
        <w:spacing w:after="60"/>
        <w:jc w:val="both"/>
      </w:pPr>
      <w:r>
        <w:rPr>
          <w:rFonts w:ascii="Calibri" w:hAnsi="Calibri" w:cs="Arial"/>
          <w:sz w:val="24"/>
          <w:szCs w:val="24"/>
        </w:rPr>
        <w:t xml:space="preserve">Do not use sawdust or paper to absorb oxidising chemicals.</w:t>
      </w:r>
    </w:p>
    <w:p>
      <w:pPr>
        <w:pStyle w:val="ListeParagraf"/>
        <w:numPr>
          <w:ilvl w:val="0"/>
          <w:numId w:val="1"/>
        </w:numPr>
        <w:spacing w:after="60"/>
        <w:jc w:val="both"/>
      </w:pPr>
      <w:r>
        <w:rPr>
          <w:rFonts w:ascii="Calibri" w:hAnsi="Calibri" w:cs="Arial"/>
          <w:sz w:val="24"/>
          <w:szCs w:val="24"/>
        </w:rPr>
        <w:t xml:space="preserve">Do not try to clean a spill alone or without the correct PPE.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AFTER THE SPILL</w:t>
      </w:r>
    </w:p>
    <w:p>
      <w:pPr>
        <w:pStyle w:val="ListeParagraf"/>
        <w:spacing w:after="80"/>
        <w:ind w:left="709" w:right="0"/>
        <w:jc w:val="both"/>
      </w:pPr>
      <w:r>
        <w:rPr>
          <w:rFonts w:ascii="Calibri" w:hAnsi="Calibri" w:cs="Arial"/>
          <w:sz w:val="24"/>
          <w:szCs w:val="24"/>
        </w:rPr>
        <w:t xml:space="preserve">4.1. Report the spill in the incident report form; the Chemical Manager investigates the cause.</w:t>
      </w:r>
    </w:p>
    <w:p>
      <w:pPr>
        <w:pStyle w:val="ListeParagraf"/>
        <w:spacing w:after="80"/>
        <w:ind w:left="709" w:right="0"/>
        <w:jc w:val="both"/>
      </w:pPr>
      <w:r>
        <w:rPr>
          <w:rFonts w:ascii="Calibri" w:hAnsi="Calibri" w:cs="Arial"/>
          <w:sz w:val="24"/>
          <w:szCs w:val="24"/>
        </w:rPr>
        <w:t xml:space="preserve">4.2. Refill the spill kit immediately and record it in the spill kit check list.</w:t>
      </w:r>
    </w:p>
    <w:p>
      <w:pPr>
        <w:pStyle w:val="ListeParagraf"/>
        <w:spacing w:after="80"/>
        <w:ind w:left="709" w:right="0"/>
        <w:jc w:val="both"/>
      </w:pPr>
      <w:r>
        <w:rPr>
          <w:rFonts w:ascii="Calibri" w:hAnsi="Calibri" w:cs="Arial"/>
          <w:sz w:val="24"/>
          <w:szCs w:val="24"/>
        </w:rPr>
        <w:t xml:space="preserve">4.3. In case of skin or eye contact, rinse with water for at least 15 minutes and apply first aid according to the SDS.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Spill Kit Monthly Check List</w:t>
      </w:r>
    </w:p>
    <w:p>
      <w:pPr>
        <w:pStyle w:val="ListeParagraf"/>
        <w:numPr>
          <w:ilvl w:val="0"/>
          <w:numId w:val="1"/>
        </w:numPr>
        <w:spacing w:after="60"/>
        <w:jc w:val="both"/>
      </w:pPr>
      <w:r>
        <w:rPr>
          <w:rFonts w:ascii="Calibri" w:hAnsi="Calibri" w:cs="Arial"/>
          <w:sz w:val="24"/>
          <w:szCs w:val="24"/>
        </w:rPr>
        <w:t xml:space="preserve">Incident Report Form</w:t>
      </w:r>
    </w:p>
    <w:p>
      <w:pPr>
        <w:pStyle w:val="ListeParagraf"/>
        <w:numPr>
          <w:ilvl w:val="0"/>
          <w:numId w:val="1"/>
        </w:numPr>
        <w:spacing w:after="60"/>
        <w:jc w:val="both"/>
      </w:pPr>
      <w:r>
        <w:rPr>
          <w:rFonts w:ascii="Calibri" w:hAnsi="Calibri" w:cs="Arial"/>
          <w:sz w:val="24"/>
          <w:szCs w:val="24"/>
        </w:rPr>
        <w:t xml:space="preserve">Chemical Spill SERP</w:t>
      </w:r>
    </w:p>
    <w:p>
      <w:pPr>
        <w:pStyle w:val="ListeParagraf"/>
        <w:numPr>
          <w:ilvl w:val="0"/>
          <w:numId w:val="1"/>
        </w:numPr>
        <w:spacing w:after="60"/>
        <w:jc w:val="both"/>
      </w:pPr>
      <w:r>
        <w:rPr>
          <w:rFonts w:ascii="Calibri" w:hAnsi="Calibri" w:cs="Arial"/>
          <w:sz w:val="24"/>
          <w:szCs w:val="24"/>
        </w:rPr>
        <w:t xml:space="preserve">EMS.ÇV.TL.19.02. Hazardous Waste Temporary Storage Area Instruction</w:t>
      </w:r>
    </w:p>
    <w:p>
      <w:pPr>
        <w:pStyle w:val="ListeParagraf"/>
        <w:numPr>
          <w:ilvl w:val="0"/>
          <w:numId w:val="1"/>
        </w:numPr>
        <w:spacing w:after="60"/>
        <w:jc w:val="both"/>
      </w:pPr>
      <w:r>
        <w:rPr>
          <w:rFonts w:ascii="Calibri" w:hAnsi="Calibri" w:cs="Arial"/>
          <w:sz w:val="24"/>
          <w:szCs w:val="24"/>
        </w:rPr>
        <w:t xml:space="preserve">EMS.İS.TL.18.04. First Aid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number of spills, response time and spill kit check results are reviewed every month by the Chemical Manager. Spill drills are carried out at least once a year, and this instruction is reviewed after every significant spill.</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الاستجابة الآمنة للانسكابات الكيميائية الصغيرة باستخدام عدة الانسكاب في شركة إيروغلو للتريكو (EMS)، وذلك لحماية الأفراد ومنع وصول المادة الكيميائية إلى المصارف والتربة والتخلص من النفايات بطريقة صحيحة.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الانسكابات الصغيرة (التي يمكن للعاملين المدربين السيطرة عليها بأمان باستخدام عدة الانسكاب) في مخزن الكيماويات ومطبخ الألوان وقسم الصباغة والطباعة والمختبر والصيانة ومحطة معالجة مياه الصرف. أما الانسكابات الكبيرة فيُتعامل معها وفق خطة الاستجابة لانسكاب المواد الكيميائية (SERP) وخطة الاستجابة للطوارئ.</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الكيماويات:</w:t>
      </w:r>
      <w:r>
        <w:rPr>
          <w:rFonts w:ascii="Calibri" w:hAnsi="Calibri" w:cs="Arial"/>
          <w:rtl/>
          <w:sz w:val="24"/>
          <w:szCs w:val="24"/>
        </w:rPr>
        <w:t xml:space="preserve"> يحدد مواقع عدد الانسكاب ومحتوياتها ويفحصها شهريًا.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المستجيبون المدربون للانسكاب:</w:t>
      </w:r>
      <w:r>
        <w:rPr>
          <w:rFonts w:ascii="Calibri" w:hAnsi="Calibri" w:cs="Arial"/>
          <w:rtl/>
          <w:sz w:val="24"/>
          <w:szCs w:val="24"/>
        </w:rPr>
        <w:t xml:space="preserve"> يسيطرون على الانسكابات الصغيرة وينظفونها وفقًا لهذه التعليمات.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جميع العاملين:</w:t>
      </w:r>
      <w:r>
        <w:rPr>
          <w:rFonts w:ascii="Calibri" w:hAnsi="Calibri" w:cs="Arial"/>
          <w:rtl/>
          <w:sz w:val="24"/>
          <w:szCs w:val="24"/>
        </w:rPr>
        <w:t xml:space="preserve"> يطلقون الإنذار ويبتعدون عن الانسكاب ويبلغون المشرف.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محتويات عدة الانسكاب</w:t>
      </w:r>
    </w:p>
    <w:p>
      <w:pPr>
        <w:pStyle w:val="ListeParagraf"/>
        <w:bidi/>
        <w:spacing w:after="80"/>
        <w:ind w:left="0" w:right="709"/>
        <w:jc w:val="both"/>
      </w:pPr>
      <w:r>
        <w:rPr>
          <w:rFonts w:ascii="Calibri" w:hAnsi="Calibri" w:cs="Arial"/>
          <w:rtl/>
          <w:sz w:val="24"/>
          <w:szCs w:val="24"/>
        </w:rPr>
        <w:t xml:space="preserve">1.1. تحتوي كل عدة على: وسادات وحواجز ماصة، ومادة ماصة حبيبية، وغطاء للمصرف، وقفازات مقاومة للمواد الكيميائية، ونظارات واقية، ومريلة، وكمامة، ومجرفة وفرشاة، وأكياس نفايات مع ملصقات النفايات الخطرة، وقائمة بالمحتويات.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خطوات الاستجابة</w:t>
      </w:r>
    </w:p>
    <w:p>
      <w:pPr>
        <w:pStyle w:val="ListeParagraf"/>
        <w:bidi/>
        <w:spacing w:after="80"/>
        <w:ind w:left="0" w:right="709"/>
        <w:jc w:val="both"/>
      </w:pPr>
      <w:r>
        <w:rPr>
          <w:rFonts w:ascii="Calibri" w:hAnsi="Calibri" w:cs="Arial"/>
          <w:rtl/>
          <w:sz w:val="24"/>
          <w:szCs w:val="24"/>
        </w:rPr>
        <w:t xml:space="preserve">2.1. حذّر الأشخاص القريبين، وأوقف المصدر إذا كان ذلك آمنًا (أغلق الصمام، أعد الحاوية إلى وضعها القائم)، وأبلغ المشرف.</w:t>
      </w:r>
    </w:p>
    <w:p>
      <w:pPr>
        <w:pStyle w:val="ListeParagraf"/>
        <w:bidi/>
        <w:spacing w:after="80"/>
        <w:ind w:left="0" w:right="709"/>
        <w:jc w:val="both"/>
      </w:pPr>
      <w:r>
        <w:rPr>
          <w:rFonts w:ascii="Calibri" w:hAnsi="Calibri" w:cs="Arial"/>
          <w:rtl/>
          <w:sz w:val="24"/>
          <w:szCs w:val="24"/>
        </w:rPr>
        <w:t xml:space="preserve">2.2. تعرّف على المادة الكيميائية من الملصق أو صحيفة بيانات السلامة؛ وإذا كانت مجهولة أو قابلة للاشتعال مع وجود مصدر اشتعال أو تنبعث منها أبخرة فلا تقترب: أخلِ المكان واستدعِ فريق الطوارئ.</w:t>
      </w:r>
    </w:p>
    <w:p>
      <w:pPr>
        <w:pStyle w:val="ListeParagraf"/>
        <w:bidi/>
        <w:spacing w:after="80"/>
        <w:ind w:left="0" w:right="709"/>
        <w:jc w:val="both"/>
      </w:pPr>
      <w:r>
        <w:rPr>
          <w:rFonts w:ascii="Calibri" w:hAnsi="Calibri" w:cs="Arial"/>
          <w:rtl/>
          <w:sz w:val="24"/>
          <w:szCs w:val="24"/>
        </w:rPr>
        <w:t xml:space="preserve">2.3. ارتدِ معدات الوقاية الموجودة في العدة قبل الاقتراب.</w:t>
      </w:r>
    </w:p>
    <w:p>
      <w:pPr>
        <w:pStyle w:val="ListeParagraf"/>
        <w:bidi/>
        <w:spacing w:after="80"/>
        <w:ind w:left="0" w:right="709"/>
        <w:jc w:val="both"/>
      </w:pPr>
      <w:r>
        <w:rPr>
          <w:rFonts w:ascii="Calibri" w:hAnsi="Calibri" w:cs="Arial"/>
          <w:rtl/>
          <w:sz w:val="24"/>
          <w:szCs w:val="24"/>
        </w:rPr>
        <w:t xml:space="preserve">2.4. غطِّ المصارف القريبة بغطاء المصرف وأحط الانسكاب بالحواجز الماصة لمنع انتشاره.</w:t>
      </w:r>
    </w:p>
    <w:p>
      <w:pPr>
        <w:pStyle w:val="ListeParagraf"/>
        <w:bidi/>
        <w:spacing w:after="80"/>
        <w:ind w:left="0" w:right="709"/>
        <w:jc w:val="both"/>
      </w:pPr>
      <w:r>
        <w:rPr>
          <w:rFonts w:ascii="Calibri" w:hAnsi="Calibri" w:cs="Arial"/>
          <w:rtl/>
          <w:sz w:val="24"/>
          <w:szCs w:val="24"/>
        </w:rPr>
        <w:t xml:space="preserve">2.5. ضع الوسادات أو الحبيبات الماصة على الانسكاب، بدءًا من الأطراف نحو المركز.</w:t>
      </w:r>
    </w:p>
    <w:p>
      <w:pPr>
        <w:pStyle w:val="ListeParagraf"/>
        <w:bidi/>
        <w:spacing w:after="80"/>
        <w:ind w:left="0" w:right="709"/>
        <w:jc w:val="both"/>
      </w:pPr>
      <w:r>
        <w:rPr>
          <w:rFonts w:ascii="Calibri" w:hAnsi="Calibri" w:cs="Arial"/>
          <w:rtl/>
          <w:sz w:val="24"/>
          <w:szCs w:val="24"/>
        </w:rPr>
        <w:t xml:space="preserve">2.6. اجمع المادة الماصة المستعملة بالمجرفة في كيس النفايات، وأغلقه، وضع عليه ملصق النفايات الخطرة، وانقله إلى منطقة تخزين النفايات الخطرة.</w:t>
      </w:r>
    </w:p>
    <w:p>
      <w:pPr>
        <w:pStyle w:val="ListeParagraf"/>
        <w:bidi/>
        <w:spacing w:after="80"/>
        <w:ind w:left="0" w:right="709"/>
        <w:jc w:val="both"/>
      </w:pPr>
      <w:r>
        <w:rPr>
          <w:rFonts w:ascii="Calibri" w:hAnsi="Calibri" w:cs="Arial"/>
          <w:rtl/>
          <w:sz w:val="24"/>
          <w:szCs w:val="24"/>
        </w:rPr>
        <w:t xml:space="preserve">2.7. نظّف المنطقة بالماء والمنظف فقط إذا سمحت صحيفة بيانات السلامة بذلك، واجمع مياه الغسيل.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تغسل الانسكاب نحو المصرف أو على التربة.</w:t>
      </w:r>
    </w:p>
    <w:p>
      <w:pPr>
        <w:pStyle w:val="ListeParagraf"/>
        <w:numPr>
          <w:ilvl w:val="0"/>
          <w:numId w:val="1"/>
        </w:numPr>
        <w:bidi/>
        <w:spacing w:after="60"/>
        <w:jc w:val="both"/>
      </w:pPr>
      <w:r>
        <w:rPr>
          <w:rFonts w:ascii="Calibri" w:hAnsi="Calibri" w:cs="Arial"/>
          <w:rtl/>
          <w:sz w:val="24"/>
          <w:szCs w:val="24"/>
        </w:rPr>
        <w:t xml:space="preserve">لا تستخدم نشارة الخشب أو الورق لامتصاص المواد المؤكسدة.</w:t>
      </w:r>
    </w:p>
    <w:p>
      <w:pPr>
        <w:pStyle w:val="ListeParagraf"/>
        <w:numPr>
          <w:ilvl w:val="0"/>
          <w:numId w:val="1"/>
        </w:numPr>
        <w:bidi/>
        <w:spacing w:after="60"/>
        <w:jc w:val="both"/>
      </w:pPr>
      <w:r>
        <w:rPr>
          <w:rFonts w:ascii="Calibri" w:hAnsi="Calibri" w:cs="Arial"/>
          <w:rtl/>
          <w:sz w:val="24"/>
          <w:szCs w:val="24"/>
        </w:rPr>
        <w:t xml:space="preserve">لا تحاول تنظيف الانسكاب بمفردك أو بدون معدات الوقاية الصحيحة.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بعد الانسكاب</w:t>
      </w:r>
    </w:p>
    <w:p>
      <w:pPr>
        <w:pStyle w:val="ListeParagraf"/>
        <w:bidi/>
        <w:spacing w:after="80"/>
        <w:ind w:left="0" w:right="709"/>
        <w:jc w:val="both"/>
      </w:pPr>
      <w:r>
        <w:rPr>
          <w:rFonts w:ascii="Calibri" w:hAnsi="Calibri" w:cs="Arial"/>
          <w:rtl/>
          <w:sz w:val="24"/>
          <w:szCs w:val="24"/>
        </w:rPr>
        <w:t xml:space="preserve">4.1. أبلغ عن الانسكاب في نموذج تقرير الحوادث؛ ويحقق مدير الكيماويات في السبب.</w:t>
      </w:r>
    </w:p>
    <w:p>
      <w:pPr>
        <w:pStyle w:val="ListeParagraf"/>
        <w:bidi/>
        <w:spacing w:after="80"/>
        <w:ind w:left="0" w:right="709"/>
        <w:jc w:val="both"/>
      </w:pPr>
      <w:r>
        <w:rPr>
          <w:rFonts w:ascii="Calibri" w:hAnsi="Calibri" w:cs="Arial"/>
          <w:rtl/>
          <w:sz w:val="24"/>
          <w:szCs w:val="24"/>
        </w:rPr>
        <w:t xml:space="preserve">4.2. أعد تعبئة عدة الانسكاب فورًا وسجّل ذلك في قائمة فحص عدة الانسكاب.</w:t>
      </w:r>
    </w:p>
    <w:p>
      <w:pPr>
        <w:pStyle w:val="ListeParagraf"/>
        <w:bidi/>
        <w:spacing w:after="80"/>
        <w:ind w:left="0" w:right="709"/>
        <w:jc w:val="both"/>
      </w:pPr>
      <w:r>
        <w:rPr>
          <w:rFonts w:ascii="Calibri" w:hAnsi="Calibri" w:cs="Arial"/>
          <w:rtl/>
          <w:sz w:val="24"/>
          <w:szCs w:val="24"/>
        </w:rPr>
        <w:t xml:space="preserve">4.3. عند ملامسة الجلد أو العين، اغسل بالماء لمدة 15 دقيقة على الأقل وقدّم الإسعافات الأولية وفقًا لصحيفة بيانات السلامة.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قائمة الفحص الشهري لعدة الانسكاب</w:t>
      </w:r>
    </w:p>
    <w:p>
      <w:pPr>
        <w:pStyle w:val="ListeParagraf"/>
        <w:numPr>
          <w:ilvl w:val="0"/>
          <w:numId w:val="1"/>
        </w:numPr>
        <w:bidi/>
        <w:spacing w:after="60"/>
        <w:jc w:val="both"/>
      </w:pPr>
      <w:r>
        <w:rPr>
          <w:rFonts w:ascii="Calibri" w:hAnsi="Calibri" w:cs="Arial"/>
          <w:rtl/>
          <w:sz w:val="24"/>
          <w:szCs w:val="24"/>
        </w:rPr>
        <w:t xml:space="preserve">نموذج تقرير الحوادث</w:t>
      </w:r>
    </w:p>
    <w:p>
      <w:pPr>
        <w:pStyle w:val="ListeParagraf"/>
        <w:numPr>
          <w:ilvl w:val="0"/>
          <w:numId w:val="1"/>
        </w:numPr>
        <w:bidi/>
        <w:spacing w:after="60"/>
        <w:jc w:val="both"/>
      </w:pPr>
      <w:r>
        <w:rPr>
          <w:rFonts w:ascii="Calibri" w:hAnsi="Calibri" w:cs="Arial"/>
          <w:rtl/>
          <w:sz w:val="24"/>
          <w:szCs w:val="24"/>
        </w:rPr>
        <w:t xml:space="preserve">خطة الاستجابة لانسكاب المواد الكيميائية (SERP)</w:t>
      </w:r>
    </w:p>
    <w:p>
      <w:pPr>
        <w:pStyle w:val="ListeParagraf"/>
        <w:numPr>
          <w:ilvl w:val="0"/>
          <w:numId w:val="1"/>
        </w:numPr>
        <w:bidi/>
        <w:spacing w:after="60"/>
        <w:jc w:val="both"/>
      </w:pPr>
      <w:r>
        <w:rPr>
          <w:rFonts w:ascii="Calibri" w:hAnsi="Calibri" w:cs="Arial"/>
          <w:rtl/>
          <w:sz w:val="24"/>
          <w:szCs w:val="24"/>
        </w:rPr>
        <w:t xml:space="preserve">EMS.ÇV.TL.19.02. تعليمات منطقة التخزين المؤقت للنفايات الخطرة</w:t>
      </w:r>
    </w:p>
    <w:p>
      <w:pPr>
        <w:pStyle w:val="ListeParagraf"/>
        <w:numPr>
          <w:ilvl w:val="0"/>
          <w:numId w:val="1"/>
        </w:numPr>
        <w:bidi/>
        <w:spacing w:after="60"/>
        <w:jc w:val="both"/>
      </w:pPr>
      <w:r>
        <w:rPr>
          <w:rFonts w:ascii="Calibri" w:hAnsi="Calibri" w:cs="Arial"/>
          <w:rtl/>
          <w:sz w:val="24"/>
          <w:szCs w:val="24"/>
        </w:rPr>
        <w:t xml:space="preserve">EMS.İS.TL.18.04. تعليمات الإسعافات الأولية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الكيماويات شهريًا عدد الانسكابات وزمن الاستجابة ونتائج فحص عدد الانسكاب. وتُنفذ تدريبات على الانسكاب مرة واحدة سنويًا على الأقل، وتُراجع هذه التعليمات بعد كل انسكاب جسيم.</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CHEMICAL SPILL KIT USE INSTRUCTION</w:t>
          </w:r>
        </w:p>
        <w:p>
          <w:pPr>
            <w:pStyle w:val="GvdeMetni2"/>
            <w:bidi/>
            <w:spacing w:line="276" w:lineRule="auto"/>
            <w:jc w:val="center"/>
          </w:pPr>
          <w:r>
            <w:rPr>
              <w:rFonts w:asciiTheme="minorHAnsi" w:hAnsiTheme="minorHAnsi" w:cs="Arial"/>
              <w:b/>
              <w:bCs/>
              <w:color w:val="000000" w:themeColor="text1"/>
              <w:sz w:val="22"/>
              <w:szCs w:val="22"/>
              <w:rtl/>
            </w:rPr>
            <w:t>تعليمات استخدام عدة الانسكاب الكيميائي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EMS.KM.TL.20.03.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EMS.KM.TL.20.03. CHEMICAL SPILL KIT USE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