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measuring, testing and monitoring equipment is identified, calibrated, verified, used and controlled at Eroglu Knitting (EMS), so that all measurement results are accurate and traceable to national or international standards.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equipment whose results affect product quality, safety or legal compliance, including laboratory instruments, scales, measuring tapes, thermometers, pH meters, light cabinets, metal and needle detectors, pressure gauges and production measuring devices.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Maintains the calibration list and plan, selects calibration providers and approves calibration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Carry out internal verifications, label equipment and keep calibration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only calibrated equipment is used in their area and report damaged or suspect equipment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Supports calibration of production and utility gauges (pressure, temperature) installed on machines.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Comparison of an instrument with a reference standard of known accuracy, carried out by a competent provider, with a certificate.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Verification:</w:t>
      </w:r>
      <w:r>
        <w:rPr>
          <w:rFonts w:ascii="Calibri" w:hAnsi="Calibri" w:cs="Arial"/>
          <w:sz w:val="24"/>
          <w:szCs w:val="24"/>
        </w:rPr>
        <w:t xml:space="preserve"> An internal check between calibrations, using reference weights, gauges or samples, to confirm the instrument is still accurate.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Criteria:</w:t>
      </w:r>
      <w:r>
        <w:rPr>
          <w:rFonts w:ascii="Calibri" w:hAnsi="Calibri" w:cs="Arial"/>
          <w:sz w:val="24"/>
          <w:szCs w:val="24"/>
        </w:rPr>
        <w:t xml:space="preserve"> The maximum permissible error for each instrument, based on the test method or manufacturer data.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EQUIPMENT IDENTIFICATION</w:t>
      </w:r>
    </w:p>
    <w:p>
      <w:pPr>
        <w:pStyle w:val="ListeParagraf"/>
        <w:spacing w:after="80"/>
        <w:ind w:left="709" w:right="0"/>
        <w:jc w:val="both"/>
      </w:pPr>
      <w:r>
        <w:rPr>
          <w:rFonts w:ascii="Calibri" w:hAnsi="Calibri" w:cs="Arial"/>
          <w:sz w:val="24"/>
          <w:szCs w:val="24"/>
        </w:rPr>
        <w:t xml:space="preserve">1.1. Every measuring device is given an equipment number and entered in the Calibration List with its location, range, accuracy and calibration interval.</w:t>
      </w:r>
    </w:p>
    <w:p>
      <w:pPr>
        <w:pStyle w:val="ListeParagraf"/>
        <w:spacing w:after="80"/>
        <w:ind w:left="709" w:right="0"/>
        <w:jc w:val="both"/>
      </w:pPr>
      <w:r>
        <w:rPr>
          <w:rFonts w:ascii="Calibri" w:hAnsi="Calibri" w:cs="Arial"/>
          <w:sz w:val="24"/>
          <w:szCs w:val="24"/>
        </w:rPr>
        <w:t xml:space="preserve">1.2. A calibration label showing the equipment number, last calibration date and next due date is fixed to each device.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CALIBRATION PLANNING</w:t>
      </w:r>
    </w:p>
    <w:p>
      <w:pPr>
        <w:pStyle w:val="ListeParagraf"/>
        <w:spacing w:after="80"/>
        <w:ind w:left="709" w:right="0"/>
        <w:jc w:val="both"/>
      </w:pPr>
      <w:r>
        <w:rPr>
          <w:rFonts w:ascii="Calibri" w:hAnsi="Calibri" w:cs="Arial"/>
          <w:sz w:val="24"/>
          <w:szCs w:val="24"/>
        </w:rPr>
        <w:t xml:space="preserve">2.1. At the beginning of each year the Laboratory Manager prepares the annual calibration plan, taking into account:</w:t>
      </w:r>
    </w:p>
    <w:p>
      <w:pPr>
        <w:pStyle w:val="ListeParagraf"/>
        <w:numPr>
          <w:ilvl w:val="0"/>
          <w:numId w:val="1"/>
        </w:numPr>
        <w:spacing w:after="60"/>
        <w:jc w:val="both"/>
      </w:pPr>
      <w:r>
        <w:rPr>
          <w:rFonts w:ascii="Calibri" w:hAnsi="Calibri" w:cs="Arial"/>
          <w:sz w:val="24"/>
          <w:szCs w:val="24"/>
        </w:rPr>
        <w:t xml:space="preserve">Manufacturer recommendations and test method requirements,</w:t>
      </w:r>
    </w:p>
    <w:p>
      <w:pPr>
        <w:pStyle w:val="ListeParagraf"/>
        <w:numPr>
          <w:ilvl w:val="0"/>
          <w:numId w:val="1"/>
        </w:numPr>
        <w:spacing w:after="60"/>
        <w:jc w:val="both"/>
      </w:pPr>
      <w:r>
        <w:rPr>
          <w:rFonts w:ascii="Calibri" w:hAnsi="Calibri" w:cs="Arial"/>
          <w:sz w:val="24"/>
          <w:szCs w:val="24"/>
        </w:rPr>
        <w:t xml:space="preserve">Frequency of use and previous calibration results,</w:t>
      </w:r>
    </w:p>
    <w:p>
      <w:pPr>
        <w:pStyle w:val="ListeParagraf"/>
        <w:numPr>
          <w:ilvl w:val="0"/>
          <w:numId w:val="1"/>
        </w:numPr>
        <w:spacing w:after="60"/>
        <w:jc w:val="both"/>
      </w:pPr>
      <w:r>
        <w:rPr>
          <w:rFonts w:ascii="Calibri" w:hAnsi="Calibri" w:cs="Arial"/>
          <w:sz w:val="24"/>
          <w:szCs w:val="24"/>
        </w:rPr>
        <w:t xml:space="preserve">Customer and legal requirements (for example scales and metal detectors).</w:t>
      </w:r>
    </w:p>
    <w:p>
      <w:pPr>
        <w:pStyle w:val="ListeParagraf"/>
        <w:spacing w:after="80"/>
        <w:ind w:left="709" w:right="0"/>
        <w:jc w:val="both"/>
      </w:pPr>
      <w:r>
        <w:rPr>
          <w:rFonts w:ascii="Calibri" w:hAnsi="Calibri" w:cs="Arial"/>
          <w:sz w:val="24"/>
          <w:szCs w:val="24"/>
        </w:rPr>
        <w:t xml:space="preserve">2.2. Calibration intervals are normally 12 months for laboratory instruments and scales, and may be shortened when results drift.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CALIBRATION AND VERIFICATION</w:t>
      </w:r>
    </w:p>
    <w:p>
      <w:pPr>
        <w:pStyle w:val="ListeParagraf"/>
        <w:spacing w:after="80"/>
        <w:ind w:left="709" w:right="0"/>
        <w:jc w:val="both"/>
      </w:pPr>
      <w:r>
        <w:rPr>
          <w:rFonts w:ascii="Calibri" w:hAnsi="Calibri" w:cs="Arial"/>
          <w:sz w:val="24"/>
          <w:szCs w:val="24"/>
        </w:rPr>
        <w:t xml:space="preserve">3.1. External calibrations are done by competent calibration providers whose standards are traceable to national or international standards; accredited providers are preferred.</w:t>
      </w:r>
    </w:p>
    <w:p>
      <w:pPr>
        <w:pStyle w:val="ListeParagraf"/>
        <w:spacing w:after="80"/>
        <w:ind w:left="709" w:right="0"/>
        <w:jc w:val="both"/>
      </w:pPr>
      <w:r>
        <w:rPr>
          <w:rFonts w:ascii="Calibri" w:hAnsi="Calibri" w:cs="Arial"/>
          <w:sz w:val="24"/>
          <w:szCs w:val="24"/>
        </w:rPr>
        <w:t xml:space="preserve">3.2. Calibration certificates are checked against the acceptance criteria before the equipment is put back into use.</w:t>
      </w:r>
    </w:p>
    <w:p>
      <w:pPr>
        <w:pStyle w:val="ListeParagraf"/>
        <w:spacing w:after="80"/>
        <w:ind w:left="709" w:right="0"/>
        <w:jc w:val="both"/>
      </w:pPr>
      <w:r>
        <w:rPr>
          <w:rFonts w:ascii="Calibri" w:hAnsi="Calibri" w:cs="Arial"/>
          <w:sz w:val="24"/>
          <w:szCs w:val="24"/>
        </w:rPr>
        <w:t xml:space="preserve">3.3. Internal verifications are carried out between calibrations (scales daily with reference weights, pH meters before each use with buffer solutions, light cabinet lamp hours monthly, metal and needle detectors at every shift start with test cards).</w:t>
      </w:r>
    </w:p>
    <w:p>
      <w:pPr>
        <w:pStyle w:val="ListeParagraf"/>
        <w:spacing w:after="80"/>
        <w:ind w:left="709" w:right="0"/>
        <w:jc w:val="both"/>
      </w:pPr>
      <w:r>
        <w:rPr>
          <w:rFonts w:ascii="Calibri" w:hAnsi="Calibri" w:cs="Arial"/>
          <w:sz w:val="24"/>
          <w:szCs w:val="24"/>
        </w:rPr>
        <w:t xml:space="preserve">3.4. Results of verifications are recorded on the verification forms.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NONCONFORMING EQUIPMENT</w:t>
      </w:r>
    </w:p>
    <w:p>
      <w:pPr>
        <w:pStyle w:val="ListeParagraf"/>
        <w:spacing w:after="80"/>
        <w:ind w:left="709" w:right="0"/>
        <w:jc w:val="both"/>
      </w:pPr>
      <w:r>
        <w:rPr>
          <w:rFonts w:ascii="Calibri" w:hAnsi="Calibri" w:cs="Arial"/>
          <w:sz w:val="24"/>
          <w:szCs w:val="24"/>
        </w:rPr>
        <w:t xml:space="preserve">4.1. Equipment that is overdue, damaged or outside the acceptance criteria is labelled “Out of Use – Do Not Use” and removed from service.</w:t>
      </w:r>
    </w:p>
    <w:p>
      <w:pPr>
        <w:pStyle w:val="ListeParagraf"/>
        <w:spacing w:after="80"/>
        <w:ind w:left="709" w:right="0"/>
        <w:jc w:val="both"/>
      </w:pPr>
      <w:r>
        <w:rPr>
          <w:rFonts w:ascii="Calibri" w:hAnsi="Calibri" w:cs="Arial"/>
          <w:sz w:val="24"/>
          <w:szCs w:val="24"/>
        </w:rPr>
        <w:t xml:space="preserve">4.2. The Laboratory Manager evaluates the effect on results obtained since the last valid check; if needed, the related materials or products are re-tested together with Quality Assurance.</w:t>
      </w:r>
    </w:p>
    <w:p>
      <w:pPr>
        <w:pStyle w:val="ListeParagraf"/>
        <w:spacing w:after="80"/>
        <w:ind w:left="709" w:right="0"/>
        <w:jc w:val="both"/>
      </w:pPr>
      <w:r>
        <w:rPr>
          <w:rFonts w:ascii="Calibri" w:hAnsi="Calibri" w:cs="Arial"/>
          <w:sz w:val="24"/>
          <w:szCs w:val="24"/>
        </w:rPr>
        <w:t xml:space="preserve">4.3. The equipment is repaired, recalibrated or scrapped, and the decision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HANDLING AND MONITORING</w:t>
      </w:r>
    </w:p>
    <w:p>
      <w:pPr>
        <w:pStyle w:val="ListeParagraf"/>
        <w:spacing w:after="80"/>
        <w:ind w:left="709" w:right="0"/>
        <w:jc w:val="both"/>
      </w:pPr>
      <w:r>
        <w:rPr>
          <w:rFonts w:ascii="Calibri" w:hAnsi="Calibri" w:cs="Arial"/>
          <w:sz w:val="24"/>
          <w:szCs w:val="24"/>
        </w:rPr>
        <w:t xml:space="preserve">5.1. Equipment is used, stored and transported according to the manufacturer’s instructions to protect its accuracy; adjustment settings are protected from unauthorised changes.</w:t>
      </w:r>
    </w:p>
    <w:p>
      <w:pPr>
        <w:pStyle w:val="ListeParagraf"/>
        <w:spacing w:after="80"/>
        <w:ind w:left="709" w:right="0"/>
        <w:jc w:val="both"/>
      </w:pPr>
      <w:r>
        <w:rPr>
          <w:rFonts w:ascii="Calibri" w:hAnsi="Calibri" w:cs="Arial"/>
          <w:sz w:val="24"/>
          <w:szCs w:val="24"/>
        </w:rPr>
        <w:t xml:space="preserve">5.2.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Calibration plan completion rate (%),</w:t>
      </w:r>
    </w:p>
    <w:p>
      <w:pPr>
        <w:pStyle w:val="ListeParagraf"/>
        <w:numPr>
          <w:ilvl w:val="0"/>
          <w:numId w:val="1"/>
        </w:numPr>
        <w:spacing w:after="60"/>
        <w:jc w:val="both"/>
      </w:pPr>
      <w:r>
        <w:rPr>
          <w:rFonts w:ascii="Calibri" w:hAnsi="Calibri" w:cs="Arial"/>
          <w:sz w:val="24"/>
          <w:szCs w:val="24"/>
        </w:rPr>
        <w:t xml:space="preserve">Number of overdue or out-of-tolerance instruments,</w:t>
      </w:r>
    </w:p>
    <w:p>
      <w:pPr>
        <w:pStyle w:val="ListeParagraf"/>
        <w:numPr>
          <w:ilvl w:val="0"/>
          <w:numId w:val="1"/>
        </w:numPr>
        <w:spacing w:after="60"/>
        <w:jc w:val="both"/>
      </w:pPr>
      <w:r>
        <w:rPr>
          <w:rFonts w:ascii="Calibri" w:hAnsi="Calibri" w:cs="Arial"/>
          <w:sz w:val="24"/>
          <w:szCs w:val="24"/>
        </w:rPr>
        <w:t xml:space="preserve">Number of re-tests caused by equipment errors.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Calibration List and Annual Calibration Plan</w:t>
      </w:r>
    </w:p>
    <w:p>
      <w:pPr>
        <w:pStyle w:val="ListeParagraf"/>
        <w:numPr>
          <w:ilvl w:val="0"/>
          <w:numId w:val="1"/>
        </w:numPr>
        <w:spacing w:after="60"/>
        <w:jc w:val="both"/>
      </w:pPr>
      <w:r>
        <w:rPr>
          <w:rFonts w:ascii="Calibri" w:hAnsi="Calibri" w:cs="Arial"/>
          <w:sz w:val="24"/>
          <w:szCs w:val="24"/>
        </w:rPr>
        <w:t xml:space="preserve">Calibration Certificates</w:t>
      </w:r>
    </w:p>
    <w:p>
      <w:pPr>
        <w:pStyle w:val="ListeParagraf"/>
        <w:numPr>
          <w:ilvl w:val="0"/>
          <w:numId w:val="1"/>
        </w:numPr>
        <w:spacing w:after="60"/>
        <w:jc w:val="both"/>
      </w:pPr>
      <w:r>
        <w:rPr>
          <w:rFonts w:ascii="Calibri" w:hAnsi="Calibri" w:cs="Arial"/>
          <w:sz w:val="24"/>
          <w:szCs w:val="24"/>
        </w:rPr>
        <w:t xml:space="preserve">Internal Verification Forms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Laboratory Manager. Calibration results, audit findings and equipment problems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تعريف أجهزة القياس والاختبار والمراقبة ومعايرتها والتحقق منها واستخدامها والتحكم فيها في شركة إيروغلو للتريكو (EMS)، بحيث تكون جميع نتائج القياس دقيقة وقابلة للتتبع إلى معايير وطنية أو دولية.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الأجهزة التي تؤثر نتائجها على جودة المنتج أو السلامة أو الامتثال القانوني، بما في ذلك أجهزة المختبر والموازين وأشرطة القياس ومقاييس الحرارة وأجهزة قياس pH وكبائن الإضاءة وأجهزة كشف المعادن والإبر ومقاييس الضغط وأجهزة القياس في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يحتفظ بقائمة المعايرة وخطتها، ويختار مقدمي خدمات المعايرة، ويعتمد نتائج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يجرون عمليات التحقق الداخلية، ويضعون الملصقات على الأجهزة، ويحتفظون بسجلات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عدم استخدام أي جهاز غير معاير في مناطقهم، ويبلغون فورًا عن الأجهزة التالفة أو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يدعم معايرة مقاييس الإنتاج والمرافق (الضغط ودرجة الحرارة) المركبة على الآلات.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مقارنة الجهاز بمعيار مرجعي معروف الدقة، تُجرى من قبل جهة كفؤة وتصدر بشهادة.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التحقق:</w:t>
      </w:r>
      <w:r>
        <w:rPr>
          <w:rFonts w:ascii="Calibri" w:hAnsi="Calibri" w:cs="Arial"/>
          <w:rtl/>
          <w:sz w:val="24"/>
          <w:szCs w:val="24"/>
        </w:rPr>
        <w:t xml:space="preserve"> فحص داخلي بين عمليات المعايرة باستخدام أوزان أو مقاييس أو عينات مرجعية للتأكد من استمرار دقة الجهاز.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w:t>
      </w:r>
      <w:r>
        <w:rPr>
          <w:rFonts w:ascii="Calibri" w:hAnsi="Calibri" w:cs="Arial"/>
          <w:rtl/>
          <w:sz w:val="24"/>
          <w:szCs w:val="24"/>
        </w:rPr>
        <w:t xml:space="preserve"> الحد الأقصى للخطأ المسموح به لكل جهاز، بناءً على طريقة الاختبار أو بيانات الشركة المصنعة.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تعريف الأجهزة</w:t>
      </w:r>
    </w:p>
    <w:p>
      <w:pPr>
        <w:pStyle w:val="ListeParagraf"/>
        <w:bidi/>
        <w:spacing w:after="80"/>
        <w:ind w:left="0" w:right="709"/>
        <w:jc w:val="both"/>
      </w:pPr>
      <w:r>
        <w:rPr>
          <w:rFonts w:ascii="Calibri" w:hAnsi="Calibri" w:cs="Arial"/>
          <w:rtl/>
          <w:sz w:val="24"/>
          <w:szCs w:val="24"/>
        </w:rPr>
        <w:t xml:space="preserve">1.1. يُعطى كل جهاز قياس رقم جهاز ويُدرج في قائمة المعايرة مع موقعه ونطاقه ودقته وفترة معايرته.</w:t>
      </w:r>
    </w:p>
    <w:p>
      <w:pPr>
        <w:pStyle w:val="ListeParagraf"/>
        <w:bidi/>
        <w:spacing w:after="80"/>
        <w:ind w:left="0" w:right="709"/>
        <w:jc w:val="both"/>
      </w:pPr>
      <w:r>
        <w:rPr>
          <w:rFonts w:ascii="Calibri" w:hAnsi="Calibri" w:cs="Arial"/>
          <w:rtl/>
          <w:sz w:val="24"/>
          <w:szCs w:val="24"/>
        </w:rPr>
        <w:t xml:space="preserve">1.2. يُثبت على كل جهاز ملصق معايرة يوضح رقم الجهاز وتاريخ آخر معايرة وتاريخ المعايرة القادمة.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تخطيط المعايرة</w:t>
      </w:r>
    </w:p>
    <w:p>
      <w:pPr>
        <w:pStyle w:val="ListeParagraf"/>
        <w:bidi/>
        <w:spacing w:after="80"/>
        <w:ind w:left="0" w:right="709"/>
        <w:jc w:val="both"/>
      </w:pPr>
      <w:r>
        <w:rPr>
          <w:rFonts w:ascii="Calibri" w:hAnsi="Calibri" w:cs="Arial"/>
          <w:rtl/>
          <w:sz w:val="24"/>
          <w:szCs w:val="24"/>
        </w:rPr>
        <w:t xml:space="preserve">2.1. في بداية كل عام يعد مدير المختبر خطة المعايرة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ومتطلبات طرق الاختبار،</w:t>
      </w:r>
    </w:p>
    <w:p>
      <w:pPr>
        <w:pStyle w:val="ListeParagraf"/>
        <w:numPr>
          <w:ilvl w:val="0"/>
          <w:numId w:val="1"/>
        </w:numPr>
        <w:bidi/>
        <w:spacing w:after="60"/>
        <w:jc w:val="both"/>
      </w:pPr>
      <w:r>
        <w:rPr>
          <w:rFonts w:ascii="Calibri" w:hAnsi="Calibri" w:cs="Arial"/>
          <w:rtl/>
          <w:sz w:val="24"/>
          <w:szCs w:val="24"/>
        </w:rPr>
        <w:t xml:space="preserve">معدل الاستخدام ونتائج المعايرات السابقة،</w:t>
      </w:r>
    </w:p>
    <w:p>
      <w:pPr>
        <w:pStyle w:val="ListeParagraf"/>
        <w:numPr>
          <w:ilvl w:val="0"/>
          <w:numId w:val="1"/>
        </w:numPr>
        <w:bidi/>
        <w:spacing w:after="60"/>
        <w:jc w:val="both"/>
      </w:pPr>
      <w:r>
        <w:rPr>
          <w:rFonts w:ascii="Calibri" w:hAnsi="Calibri" w:cs="Arial"/>
          <w:rtl/>
          <w:sz w:val="24"/>
          <w:szCs w:val="24"/>
        </w:rPr>
        <w:t xml:space="preserve">متطلبات العملاء والمتطلبات القانونية (مثل الموازين وأجهزة كشف المعادن).</w:t>
      </w:r>
    </w:p>
    <w:p>
      <w:pPr>
        <w:pStyle w:val="ListeParagraf"/>
        <w:bidi/>
        <w:spacing w:after="80"/>
        <w:ind w:left="0" w:right="709"/>
        <w:jc w:val="both"/>
      </w:pPr>
      <w:r>
        <w:rPr>
          <w:rFonts w:ascii="Calibri" w:hAnsi="Calibri" w:cs="Arial"/>
          <w:rtl/>
          <w:sz w:val="24"/>
          <w:szCs w:val="24"/>
        </w:rPr>
        <w:t xml:space="preserve">2.2. تكون فترات المعايرة عادةً 12 شهرًا لأجهزة المختبر والموازين، ويمكن تقصيرها عند انحراف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المعايرة والتحقق</w:t>
      </w:r>
    </w:p>
    <w:p>
      <w:pPr>
        <w:pStyle w:val="ListeParagraf"/>
        <w:bidi/>
        <w:spacing w:after="80"/>
        <w:ind w:left="0" w:right="709"/>
        <w:jc w:val="both"/>
      </w:pPr>
      <w:r>
        <w:rPr>
          <w:rFonts w:ascii="Calibri" w:hAnsi="Calibri" w:cs="Arial"/>
          <w:rtl/>
          <w:sz w:val="24"/>
          <w:szCs w:val="24"/>
        </w:rPr>
        <w:t xml:space="preserve">3.1. تُجرى المعايرات الخارجية من قبل مقدمي خدمات معايرة أكفاء تكون معاييرهم قابلة للتتبع إلى معايير وطنية أو دولية، ويُفضل مقدمو الخدمات المعتمدون.</w:t>
      </w:r>
    </w:p>
    <w:p>
      <w:pPr>
        <w:pStyle w:val="ListeParagraf"/>
        <w:bidi/>
        <w:spacing w:after="80"/>
        <w:ind w:left="0" w:right="709"/>
        <w:jc w:val="both"/>
      </w:pPr>
      <w:r>
        <w:rPr>
          <w:rFonts w:ascii="Calibri" w:hAnsi="Calibri" w:cs="Arial"/>
          <w:rtl/>
          <w:sz w:val="24"/>
          <w:szCs w:val="24"/>
        </w:rPr>
        <w:t xml:space="preserve">3.2. تُراجع شهادات المعايرة مقابل معايير القبول قبل إعادة الجهاز إلى الاستخدام.</w:t>
      </w:r>
    </w:p>
    <w:p>
      <w:pPr>
        <w:pStyle w:val="ListeParagraf"/>
        <w:bidi/>
        <w:spacing w:after="80"/>
        <w:ind w:left="0" w:right="709"/>
        <w:jc w:val="both"/>
      </w:pPr>
      <w:r>
        <w:rPr>
          <w:rFonts w:ascii="Calibri" w:hAnsi="Calibri" w:cs="Arial"/>
          <w:rtl/>
          <w:sz w:val="24"/>
          <w:szCs w:val="24"/>
        </w:rPr>
        <w:t xml:space="preserve">3.3. تُجرى عمليات تحقق داخلية بين المعايرات (الموازين يوميًا بأوزان مرجعية، وأجهزة pH قبل كل استخدام بمحاليل منظمة، وساعات تشغيل مصابيح كابينة الإضاءة شهريًا، وأجهزة كشف المعادن والإبر في بداية كل وردية ببطاقات اختبار).</w:t>
      </w:r>
    </w:p>
    <w:p>
      <w:pPr>
        <w:pStyle w:val="ListeParagraf"/>
        <w:bidi/>
        <w:spacing w:after="80"/>
        <w:ind w:left="0" w:right="709"/>
        <w:jc w:val="both"/>
      </w:pPr>
      <w:r>
        <w:rPr>
          <w:rFonts w:ascii="Calibri" w:hAnsi="Calibri" w:cs="Arial"/>
          <w:rtl/>
          <w:sz w:val="24"/>
          <w:szCs w:val="24"/>
        </w:rPr>
        <w:t xml:space="preserve">3.4. تُسجل نتائج عمليات التحقق في نماذج التحقق.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الأجهزة غير المطابقة</w:t>
      </w:r>
    </w:p>
    <w:p>
      <w:pPr>
        <w:pStyle w:val="ListeParagraf"/>
        <w:bidi/>
        <w:spacing w:after="80"/>
        <w:ind w:left="0" w:right="709"/>
        <w:jc w:val="both"/>
      </w:pPr>
      <w:r>
        <w:rPr>
          <w:rFonts w:ascii="Calibri" w:hAnsi="Calibri" w:cs="Arial"/>
          <w:rtl/>
          <w:sz w:val="24"/>
          <w:szCs w:val="24"/>
        </w:rPr>
        <w:t xml:space="preserve">4.1. يوضع على الجهاز المتأخر عن موعد معايرته أو التالف أو الخارج عن معايير القبول ملصق «خارج الخدمة – ممنوع الاستخدام» ويُسحب من الخدمة.</w:t>
      </w:r>
    </w:p>
    <w:p>
      <w:pPr>
        <w:pStyle w:val="ListeParagraf"/>
        <w:bidi/>
        <w:spacing w:after="80"/>
        <w:ind w:left="0" w:right="709"/>
        <w:jc w:val="both"/>
      </w:pPr>
      <w:r>
        <w:rPr>
          <w:rFonts w:ascii="Calibri" w:hAnsi="Calibri" w:cs="Arial"/>
          <w:rtl/>
          <w:sz w:val="24"/>
          <w:szCs w:val="24"/>
        </w:rPr>
        <w:t xml:space="preserve">4.2. يقيّم مدير المختبر الأثر على النتائج التي تم الحصول عليها منذ آخر فحص صالح، وعند الحاجة يُعاد اختبار المواد أو المنتجات المعنية بالتعاون مع ضمان الجودة.</w:t>
      </w:r>
    </w:p>
    <w:p>
      <w:pPr>
        <w:pStyle w:val="ListeParagraf"/>
        <w:bidi/>
        <w:spacing w:after="80"/>
        <w:ind w:left="0" w:right="709"/>
        <w:jc w:val="both"/>
      </w:pPr>
      <w:r>
        <w:rPr>
          <w:rFonts w:ascii="Calibri" w:hAnsi="Calibri" w:cs="Arial"/>
          <w:rtl/>
          <w:sz w:val="24"/>
          <w:szCs w:val="24"/>
        </w:rPr>
        <w:t xml:space="preserve">4.3. يُصلح الجهاز أو تُعاد معايرته أو يُستبعد، ويُسجل القرار.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التعامل مع الأجهزة والمتابعة</w:t>
      </w:r>
    </w:p>
    <w:p>
      <w:pPr>
        <w:pStyle w:val="ListeParagraf"/>
        <w:bidi/>
        <w:spacing w:after="80"/>
        <w:ind w:left="0" w:right="709"/>
        <w:jc w:val="both"/>
      </w:pPr>
      <w:r>
        <w:rPr>
          <w:rFonts w:ascii="Calibri" w:hAnsi="Calibri" w:cs="Arial"/>
          <w:rtl/>
          <w:sz w:val="24"/>
          <w:szCs w:val="24"/>
        </w:rPr>
        <w:t xml:space="preserve">5.1. تُستخدم الأجهزة وتُخزن وتُنقل وفق تعليمات الشركة المصنعة لحماية دقتها، وتُحمى إعدادات الضبط من أي تغيير غير مصرح به.</w:t>
      </w:r>
    </w:p>
    <w:p>
      <w:pPr>
        <w:pStyle w:val="ListeParagraf"/>
        <w:bidi/>
        <w:spacing w:after="80"/>
        <w:ind w:left="0" w:right="709"/>
        <w:jc w:val="both"/>
      </w:pPr>
      <w:r>
        <w:rPr>
          <w:rFonts w:ascii="Calibri" w:hAnsi="Calibri" w:cs="Arial"/>
          <w:rtl/>
          <w:sz w:val="24"/>
          <w:szCs w:val="24"/>
        </w:rPr>
        <w:t xml:space="preserve">5.2.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تنفيذ خطة المعايرة (%)،</w:t>
      </w:r>
    </w:p>
    <w:p>
      <w:pPr>
        <w:pStyle w:val="ListeParagraf"/>
        <w:numPr>
          <w:ilvl w:val="0"/>
          <w:numId w:val="1"/>
        </w:numPr>
        <w:bidi/>
        <w:spacing w:after="60"/>
        <w:jc w:val="both"/>
      </w:pPr>
      <w:r>
        <w:rPr>
          <w:rFonts w:ascii="Calibri" w:hAnsi="Calibri" w:cs="Arial"/>
          <w:rtl/>
          <w:sz w:val="24"/>
          <w:szCs w:val="24"/>
        </w:rPr>
        <w:t xml:space="preserve">عدد الأجهزة المتأخرة عن المعايرة أو الخارجة عن حدود التفاوت،</w:t>
      </w:r>
    </w:p>
    <w:p>
      <w:pPr>
        <w:pStyle w:val="ListeParagraf"/>
        <w:numPr>
          <w:ilvl w:val="0"/>
          <w:numId w:val="1"/>
        </w:numPr>
        <w:bidi/>
        <w:spacing w:after="60"/>
        <w:jc w:val="both"/>
      </w:pPr>
      <w:r>
        <w:rPr>
          <w:rFonts w:ascii="Calibri" w:hAnsi="Calibri" w:cs="Arial"/>
          <w:rtl/>
          <w:sz w:val="24"/>
          <w:szCs w:val="24"/>
        </w:rPr>
        <w:t xml:space="preserve">عدد عمليات إعادة الاختبار الناتجة عن أخطاء الأجهزة.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المعايرة وخطة المعايرة السنوية</w:t>
      </w:r>
    </w:p>
    <w:p>
      <w:pPr>
        <w:pStyle w:val="ListeParagraf"/>
        <w:numPr>
          <w:ilvl w:val="0"/>
          <w:numId w:val="1"/>
        </w:numPr>
        <w:bidi/>
        <w:spacing w:after="60"/>
        <w:jc w:val="both"/>
      </w:pPr>
      <w:r>
        <w:rPr>
          <w:rFonts w:ascii="Calibri" w:hAnsi="Calibri" w:cs="Arial"/>
          <w:rtl/>
          <w:sz w:val="24"/>
          <w:szCs w:val="24"/>
        </w:rPr>
        <w:t xml:space="preserve">شهادات المعايرة</w:t>
      </w:r>
    </w:p>
    <w:p>
      <w:pPr>
        <w:pStyle w:val="ListeParagraf"/>
        <w:numPr>
          <w:ilvl w:val="0"/>
          <w:numId w:val="1"/>
        </w:numPr>
        <w:bidi/>
        <w:spacing w:after="60"/>
        <w:jc w:val="both"/>
      </w:pPr>
      <w:r>
        <w:rPr>
          <w:rFonts w:ascii="Calibri" w:hAnsi="Calibri" w:cs="Arial"/>
          <w:rtl/>
          <w:sz w:val="24"/>
          <w:szCs w:val="24"/>
        </w:rPr>
        <w:t xml:space="preserve">نماذج التحقق الداخلي</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نتائج المعايرة ونتائج التدقيق ومشكلات الأجهزة،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CALIBRATION OF MEASURING EQUIPMENT PROCEDURE</w:t>
          </w:r>
        </w:p>
        <w:p>
          <w:pPr>
            <w:pStyle w:val="GvdeMetni2"/>
            <w:bidi/>
            <w:spacing w:line="276" w:lineRule="auto"/>
            <w:jc w:val="center"/>
          </w:pPr>
          <w:r>
            <w:rPr>
              <w:rFonts w:asciiTheme="minorHAnsi" w:hAnsiTheme="minorHAnsi" w:cs="Arial"/>
              <w:b/>
              <w:bCs/>
              <w:color w:val="000000" w:themeColor="text1"/>
              <w:sz w:val="22"/>
              <w:szCs w:val="22"/>
              <w:rtl/>
            </w:rPr>
            <w:t>إجراء معايرة أجهزة القياس</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EMS.LB.PRO.09.02. CALIBRATION OF MEASURING EQUIPMENT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