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manage its environmental, social and economic impacts in a responsible way, to reduce its use of natural resources and its greenhouse gas emissions, and to create long-term value for its employees, customers and the local community in Ismailia.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production processes: knitting, dyeing and finishing, cutting, sewing, printing, embroidery and packing,</w:t>
      </w:r>
    </w:p>
    <w:p>
      <w:pPr>
        <w:pStyle w:val="ListeParagraf"/>
        <w:spacing w:after="80"/>
        <w:ind w:left="709" w:right="0"/>
        <w:jc w:val="both"/>
      </w:pPr>
      <w:r>
        <w:rPr>
          <w:rFonts w:ascii="Calibri" w:hAnsi="Calibri" w:cs="Arial"/>
          <w:sz w:val="24"/>
          <w:szCs w:val="24"/>
        </w:rPr>
        <w:t xml:space="preserve">• Utilities and support activities: boilers, generators, compressors, wastewater treatment, warehouses, canteen and offices,</w:t>
      </w:r>
    </w:p>
    <w:p>
      <w:pPr>
        <w:pStyle w:val="ListeParagraf"/>
        <w:spacing w:after="80"/>
        <w:ind w:left="709" w:right="0"/>
        <w:jc w:val="both"/>
      </w:pPr>
      <w:r>
        <w:rPr>
          <w:rFonts w:ascii="Calibri" w:hAnsi="Calibri" w:cs="Arial"/>
          <w:sz w:val="24"/>
          <w:szCs w:val="24"/>
        </w:rPr>
        <w:t xml:space="preserve">• Purchased materials, chemicals, energy and services, including the sustainability performance of suppliers and subcontractors.</w:t>
      </w:r>
    </w:p>
    <w:p>
      <w:pPr>
        <w:pStyle w:val="ListeParagraf"/>
        <w:spacing w:after="80"/>
        <w:ind w:left="709" w:right="0"/>
        <w:jc w:val="both"/>
      </w:pPr>
      <w:r>
        <w:rPr>
          <w:rFonts w:ascii="Calibri" w:hAnsi="Calibri" w:cs="Arial"/>
          <w:sz w:val="24"/>
          <w:szCs w:val="24"/>
        </w:rPr>
        <w:t xml:space="preserve">It applies to all EMS employees, managers and contractors working on behalf of the Company.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sets the sustainability targets together with top management and provides the necessary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(CSR) Manager:</w:t>
      </w:r>
      <w:r>
        <w:rPr>
          <w:rFonts w:ascii="Calibri" w:hAnsi="Calibri" w:cs="Arial"/>
          <w:sz w:val="24"/>
          <w:szCs w:val="24"/>
        </w:rPr>
        <w:t xml:space="preserve"> Coordinates the implementation of the policy, manages the Higg FEM and other sustainability data and reports performance to management and customers.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Apply the policy in their areas, support data collection and carry out the improvement projects assigned to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Use energy, water, chemicals and materials carefully, sort waste correctly and share improvement ideas.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w:t>
      </w:r>
      <w:r>
        <w:rPr>
          <w:rFonts w:ascii="Calibri" w:hAnsi="Calibri" w:cs="Arial"/>
          <w:sz w:val="24"/>
          <w:szCs w:val="24"/>
        </w:rPr>
        <w:t xml:space="preserve"> Meeting present needs without compromising the ability of future generations to meet their own needs, balancing environmental, social and economic aspects.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FEM:</w:t>
      </w:r>
      <w:r>
        <w:rPr>
          <w:rFonts w:ascii="Calibri" w:hAnsi="Calibri" w:cs="Arial"/>
          <w:sz w:val="24"/>
          <w:szCs w:val="24"/>
        </w:rPr>
        <w:t xml:space="preserve"> Higg Facility Environmental Module; the industry tool used to measure and report the environmental performance of a facility.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Greenhouse Gas (GHG):</w:t>
      </w:r>
      <w:r>
        <w:rPr>
          <w:rFonts w:ascii="Calibri" w:hAnsi="Calibri" w:cs="Arial"/>
          <w:sz w:val="24"/>
          <w:szCs w:val="24"/>
        </w:rPr>
        <w:t xml:space="preserve"> Gases such as carbon dioxide, methane and nitrous oxide that contribute to climate change, expressed as CO2 equivalent (CO2e).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Set measurable annual targets for energy, greenhouse gas emissions, water, wastewater, waste and chemicals, and to follow them regularly.</w:t>
      </w:r>
    </w:p>
    <w:p>
      <w:pPr>
        <w:pStyle w:val="ListeParagraf"/>
        <w:numPr>
          <w:ilvl w:val="0"/>
          <w:numId w:val="1"/>
        </w:numPr>
        <w:spacing w:after="60"/>
        <w:jc w:val="both"/>
      </w:pPr>
      <w:r>
        <w:rPr>
          <w:rFonts w:ascii="Calibri" w:hAnsi="Calibri" w:cs="Arial"/>
          <w:sz w:val="24"/>
          <w:szCs w:val="24"/>
        </w:rPr>
        <w:t xml:space="preserve">Reduce energy consumption and GHG emissions per kilogram of product, and increase the use of renewable energy where feasible.</w:t>
      </w:r>
    </w:p>
    <w:p>
      <w:pPr>
        <w:pStyle w:val="ListeParagraf"/>
        <w:numPr>
          <w:ilvl w:val="0"/>
          <w:numId w:val="1"/>
        </w:numPr>
        <w:spacing w:after="60"/>
        <w:jc w:val="both"/>
      </w:pPr>
      <w:r>
        <w:rPr>
          <w:rFonts w:ascii="Calibri" w:hAnsi="Calibri" w:cs="Arial"/>
          <w:sz w:val="24"/>
          <w:szCs w:val="24"/>
        </w:rPr>
        <w:t xml:space="preserve">Reduce fresh water use, treat all wastewater to legal and ZDHC wastewater requirements and reuse water where possible.</w:t>
      </w:r>
    </w:p>
    <w:p>
      <w:pPr>
        <w:pStyle w:val="ListeParagraf"/>
        <w:numPr>
          <w:ilvl w:val="0"/>
          <w:numId w:val="1"/>
        </w:numPr>
        <w:spacing w:after="60"/>
        <w:jc w:val="both"/>
      </w:pPr>
      <w:r>
        <w:rPr>
          <w:rFonts w:ascii="Calibri" w:hAnsi="Calibri" w:cs="Arial"/>
          <w:sz w:val="24"/>
          <w:szCs w:val="24"/>
        </w:rPr>
        <w:t xml:space="preserve">Eliminate hazardous chemicals in line with the ZDHC MRSL and customer restricted substance lists.</w:t>
      </w:r>
    </w:p>
    <w:p>
      <w:pPr>
        <w:pStyle w:val="ListeParagraf"/>
        <w:numPr>
          <w:ilvl w:val="0"/>
          <w:numId w:val="1"/>
        </w:numPr>
        <w:spacing w:after="60"/>
        <w:jc w:val="both"/>
      </w:pPr>
      <w:r>
        <w:rPr>
          <w:rFonts w:ascii="Calibri" w:hAnsi="Calibri" w:cs="Arial"/>
          <w:sz w:val="24"/>
          <w:szCs w:val="24"/>
        </w:rPr>
        <w:t xml:space="preserve">Reduce, reuse and recycle waste, and increase the use of recycled and certified materials (GRS, RCS, OCS).</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and the ISO 14001 and ISO 45001 standards, and respect human rights and fair working conditions.</w:t>
      </w:r>
    </w:p>
    <w:p>
      <w:pPr>
        <w:pStyle w:val="ListeParagraf"/>
        <w:numPr>
          <w:ilvl w:val="0"/>
          <w:numId w:val="1"/>
        </w:numPr>
        <w:spacing w:after="60"/>
        <w:jc w:val="both"/>
      </w:pPr>
      <w:r>
        <w:rPr>
          <w:rFonts w:ascii="Calibri" w:hAnsi="Calibri" w:cs="Arial"/>
          <w:sz w:val="24"/>
          <w:szCs w:val="24"/>
        </w:rPr>
        <w:t xml:space="preserve">Report sustainability performance transparently through the Higg FEM verification and customer platforms.</w:t>
      </w:r>
    </w:p>
    <w:p>
      <w:pPr>
        <w:pStyle w:val="ListeParagraf"/>
        <w:numPr>
          <w:ilvl w:val="0"/>
          <w:numId w:val="1"/>
        </w:numPr>
        <w:spacing w:after="60"/>
        <w:jc w:val="both"/>
      </w:pPr>
      <w:r>
        <w:rPr>
          <w:rFonts w:ascii="Calibri" w:hAnsi="Calibri" w:cs="Arial"/>
          <w:sz w:val="24"/>
          <w:szCs w:val="24"/>
        </w:rPr>
        <w:t xml:space="preserve">Raise awareness of employees and suppliers through training and communication.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shared with suppliers on request and displayed on the notice boards.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بإدارة آثارها البيئية والاجتماعية والاقتصادية بطريقة مسؤولة، وتقليل استهلاكها للموارد الطبيعية وانبعاثاتها من غازات الاحتباس الحراري، وتحقيق قيمة طويلة الأجل لموظفيها وعملائها والمجتمع المحلي في الإسماعيلية.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عمليات الإنتاج: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المرافق والأنشطة المساندة: الغلايات والمولدات والضواغط ومعالجة مياه الصرف والمخازن والمطعم والمكاتب،</w:t>
      </w:r>
    </w:p>
    <w:p>
      <w:pPr>
        <w:pStyle w:val="ListeParagraf"/>
        <w:bidi/>
        <w:spacing w:after="80"/>
        <w:ind w:left="0" w:right="709"/>
        <w:jc w:val="both"/>
      </w:pPr>
      <w:r>
        <w:rPr>
          <w:rFonts w:ascii="Calibri" w:hAnsi="Calibri" w:cs="Arial"/>
          <w:rtl/>
          <w:sz w:val="24"/>
          <w:szCs w:val="24"/>
        </w:rPr>
        <w:t xml:space="preserve">• المواد والكيماويات والطاقة والخدمات المشتراة، بما في ذلك أداء الموردين والمقاولين من الباطن في مجال الاستدامة.</w:t>
      </w:r>
    </w:p>
    <w:p>
      <w:pPr>
        <w:pStyle w:val="ListeParagraf"/>
        <w:bidi/>
        <w:spacing w:after="80"/>
        <w:ind w:left="0" w:right="709"/>
        <w:jc w:val="both"/>
      </w:pPr>
      <w:r>
        <w:rPr>
          <w:rFonts w:ascii="Calibri" w:hAnsi="Calibri" w:cs="Arial"/>
          <w:rtl/>
          <w:sz w:val="24"/>
          <w:szCs w:val="24"/>
        </w:rPr>
        <w:t xml:space="preserve">وتنطبق على جميع موظفي EMS ومديريها والمقاولين العاملين نيابة عن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ويحدد أهداف الاستدامة مع الإدارة العليا، ويوفر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الاستدامة (المسؤولية الاجتماعية):</w:t>
      </w:r>
      <w:r>
        <w:rPr>
          <w:rFonts w:ascii="Calibri" w:hAnsi="Calibri" w:cs="Arial"/>
          <w:rtl/>
          <w:sz w:val="24"/>
          <w:szCs w:val="24"/>
        </w:rPr>
        <w:t xml:space="preserve"> ينسق تنفيذ السياسة، ويدير بيانات Higg FEM وغيرها من بيانات الاستدامة، ويرفع تقارير الأداء إلى الإدارة والعملاء.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يطبقون السياسة في مناطقهم، ويدعمون جمع البيانات، وينفذون مشاريع التحسين المكلفين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يستخدمون الطاقة والمياه والكيماويات والمواد بعناية، ويفرزون النفايات بشكل صحيح، ويشاركون أفكار التحسين.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الاستدامة:</w:t>
      </w:r>
      <w:r>
        <w:rPr>
          <w:rFonts w:ascii="Calibri" w:hAnsi="Calibri" w:cs="Arial"/>
          <w:rtl/>
          <w:sz w:val="24"/>
          <w:szCs w:val="24"/>
        </w:rPr>
        <w:t xml:space="preserve"> تلبية احتياجات الحاضر دون الإضرار بقدرة الأجيال القادمة على تلبية احتياجاتها، مع تحقيق التوازن بين الجوانب البيئية والاجتماعية والاقتصادية.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Higg FEM:</w:t>
      </w:r>
      <w:r>
        <w:rPr>
          <w:rFonts w:ascii="Calibri" w:hAnsi="Calibri" w:cs="Arial"/>
          <w:rtl/>
          <w:sz w:val="24"/>
          <w:szCs w:val="24"/>
        </w:rPr>
        <w:t xml:space="preserve"> وحدة Higg البيئية للمنشآت؛ وهي الأداة المعتمدة في القطاع لقياس الأداء البيئي للمنشأة والإبلاغ عنه.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غازات الاحتباس الحراري (GHG):</w:t>
      </w:r>
      <w:r>
        <w:rPr>
          <w:rFonts w:ascii="Calibri" w:hAnsi="Calibri" w:cs="Arial"/>
          <w:rtl/>
          <w:sz w:val="24"/>
          <w:szCs w:val="24"/>
        </w:rPr>
        <w:t xml:space="preserve"> غازات مثل ثاني أكسيد الكربون والميثان وأكسيد النيتروز تساهم في تغير المناخ، ويُعبر عنها بمكافئ ثاني أكسيد الكربون (CO2e).</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وضع أهداف سنوية قابلة للقياس للطاقة وانبعاثات غازات الاحتباس الحراري والمياه ومياه الصرف والنفايات والكيماويات، ومتابعتها بانتظام.</w:t>
      </w:r>
    </w:p>
    <w:p>
      <w:pPr>
        <w:pStyle w:val="ListeParagraf"/>
        <w:numPr>
          <w:ilvl w:val="0"/>
          <w:numId w:val="1"/>
        </w:numPr>
        <w:bidi/>
        <w:spacing w:after="60"/>
        <w:jc w:val="both"/>
      </w:pPr>
      <w:r>
        <w:rPr>
          <w:rFonts w:ascii="Calibri" w:hAnsi="Calibri" w:cs="Arial"/>
          <w:rtl/>
          <w:sz w:val="24"/>
          <w:szCs w:val="24"/>
        </w:rPr>
        <w:t xml:space="preserve">تقليل استهلاك الطاقة وانبعاثات GHG لكل كيلوغرام من المنتج، وزيادة استخدام الطاقة المتجددة حيثما أمكن.</w:t>
      </w:r>
    </w:p>
    <w:p>
      <w:pPr>
        <w:pStyle w:val="ListeParagraf"/>
        <w:numPr>
          <w:ilvl w:val="0"/>
          <w:numId w:val="1"/>
        </w:numPr>
        <w:bidi/>
        <w:spacing w:after="60"/>
        <w:jc w:val="both"/>
      </w:pPr>
      <w:r>
        <w:rPr>
          <w:rFonts w:ascii="Calibri" w:hAnsi="Calibri" w:cs="Arial"/>
          <w:rtl/>
          <w:sz w:val="24"/>
          <w:szCs w:val="24"/>
        </w:rPr>
        <w:t xml:space="preserve">تقليل استهلاك المياه العذبة، ومعالجة جميع مياه الصرف وفق المتطلبات القانونية ومتطلبات ZDHC لمياه الصرف، وإعادة استخدام المياه حيثما أمكن.</w:t>
      </w:r>
    </w:p>
    <w:p>
      <w:pPr>
        <w:pStyle w:val="ListeParagraf"/>
        <w:numPr>
          <w:ilvl w:val="0"/>
          <w:numId w:val="1"/>
        </w:numPr>
        <w:bidi/>
        <w:spacing w:after="60"/>
        <w:jc w:val="both"/>
      </w:pPr>
      <w:r>
        <w:rPr>
          <w:rFonts w:ascii="Calibri" w:hAnsi="Calibri" w:cs="Arial"/>
          <w:rtl/>
          <w:sz w:val="24"/>
          <w:szCs w:val="24"/>
        </w:rPr>
        <w:t xml:space="preserve">التخلص التدريجي من الكيماويات الخطرة بما يتوافق مع ZDHC MRSL وقوائم المواد المقيدة لدى العملاء.</w:t>
      </w:r>
    </w:p>
    <w:p>
      <w:pPr>
        <w:pStyle w:val="ListeParagraf"/>
        <w:numPr>
          <w:ilvl w:val="0"/>
          <w:numId w:val="1"/>
        </w:numPr>
        <w:bidi/>
        <w:spacing w:after="60"/>
        <w:jc w:val="both"/>
      </w:pPr>
      <w:r>
        <w:rPr>
          <w:rFonts w:ascii="Calibri" w:hAnsi="Calibri" w:cs="Arial"/>
          <w:rtl/>
          <w:sz w:val="24"/>
          <w:szCs w:val="24"/>
        </w:rPr>
        <w:t xml:space="preserve">تقليل النفايات وإعادة استخدامها وتدويرها، وزيادة استخدام المواد المعاد تدويرها والمعتمدة (GRS وRCS وOCS).</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ومعياري ISO 14001 وISO 45001، واحترام حقوق الإنسان وظروف العمل العادلة.</w:t>
      </w:r>
    </w:p>
    <w:p>
      <w:pPr>
        <w:pStyle w:val="ListeParagraf"/>
        <w:numPr>
          <w:ilvl w:val="0"/>
          <w:numId w:val="1"/>
        </w:numPr>
        <w:bidi/>
        <w:spacing w:after="60"/>
        <w:jc w:val="both"/>
      </w:pPr>
      <w:r>
        <w:rPr>
          <w:rFonts w:ascii="Calibri" w:hAnsi="Calibri" w:cs="Arial"/>
          <w:rtl/>
          <w:sz w:val="24"/>
          <w:szCs w:val="24"/>
        </w:rPr>
        <w:t xml:space="preserve">الإفصاح بشفافية عن أداء الاستدامة من خلال التحقق من Higg FEM ومنصات العملاء.</w:t>
      </w:r>
    </w:p>
    <w:p>
      <w:pPr>
        <w:pStyle w:val="ListeParagraf"/>
        <w:numPr>
          <w:ilvl w:val="0"/>
          <w:numId w:val="1"/>
        </w:numPr>
        <w:bidi/>
        <w:spacing w:after="60"/>
        <w:jc w:val="both"/>
      </w:pPr>
      <w:r>
        <w:rPr>
          <w:rFonts w:ascii="Calibri" w:hAnsi="Calibri" w:cs="Arial"/>
          <w:rtl/>
          <w:sz w:val="24"/>
          <w:szCs w:val="24"/>
        </w:rPr>
        <w:t xml:space="preserve">رفع وعي الموظفين والموردين من خلال التدريب والتواصل.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وتُشارك مع الموردين عند الطلب، وتُعلق على لوحات الإعلانات.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SUSTAINABILITY POLICY</w:t>
          </w:r>
        </w:p>
        <w:p>
          <w:pPr>
            <w:pStyle w:val="GvdeMetni2"/>
            <w:bidi/>
            <w:spacing w:line="276" w:lineRule="auto"/>
            <w:jc w:val="center"/>
          </w:pPr>
          <w:r>
            <w:rPr>
              <w:rFonts w:asciiTheme="minorHAnsi" w:hAnsiTheme="minorHAnsi" w:cs="Arial"/>
              <w:b/>
              <w:bCs/>
              <w:color w:val="000000" w:themeColor="text1"/>
              <w:sz w:val="22"/>
              <w:szCs w:val="22"/>
              <w:rtl/>
            </w:rPr>
            <w:t>سياسة الاستدامة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EMS.SR.POL.16.01.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EMS.SR.POL.16.01. SUSTAINABILITY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