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energy use is measured, controlled and reduced, and how greenhouse gas (GHG) emissions are calculated, reported and reduced at Eroglu Knitting (EMS), in order to lower costs, support customer climate targets and reduce the Company’s impact on climate change.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energy sources used in the EMS facility (grid electricity, natural gas, diesel, LPG, steam and any on-site renewable energy), all significant energy users such as boilers, stenters, dryers, dyeing machines, compressors and air conditioning, and the calculation of Scope 1 and Scope 2 GHG emissions.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energy and GHG reduction targets and the investments needed.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Sustainability (CSR) Manager:</w:t>
      </w:r>
      <w:r>
        <w:rPr>
          <w:rFonts w:ascii="Calibri" w:hAnsi="Calibri" w:cs="Arial"/>
          <w:sz w:val="24"/>
          <w:szCs w:val="24"/>
        </w:rPr>
        <w:t xml:space="preserve"> Calculates and reports GHG emissions, follows the targets and coordinates energy saving projects.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Manages meters and sub-meters, carries out energy audits, controls leaks and implements technical energy saving measures.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and Operators:</w:t>
      </w:r>
      <w:r>
        <w:rPr>
          <w:rFonts w:ascii="Calibri" w:hAnsi="Calibri" w:cs="Arial"/>
          <w:sz w:val="24"/>
          <w:szCs w:val="24"/>
        </w:rPr>
        <w:t xml:space="preserve"> Switch off machines, lights and air conditioning when not needed and report steam, air and water leaks.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Significant Energy User (SEU):</w:t>
      </w:r>
      <w:r>
        <w:rPr>
          <w:rFonts w:ascii="Calibri" w:hAnsi="Calibri" w:cs="Arial"/>
          <w:sz w:val="24"/>
          <w:szCs w:val="24"/>
        </w:rPr>
        <w:t xml:space="preserve"> Equipment or process that accounts for a large share of energy consumption and offers potential for improvement.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Scope 1 Emissions:</w:t>
      </w:r>
      <w:r>
        <w:rPr>
          <w:rFonts w:ascii="Calibri" w:hAnsi="Calibri" w:cs="Arial"/>
          <w:sz w:val="24"/>
          <w:szCs w:val="24"/>
        </w:rPr>
        <w:t xml:space="preserve"> Direct GHG emissions from fuels burned on site (boilers, generators, vehicles) and refrigerant leaks.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Scope 2 Emissions:</w:t>
      </w:r>
      <w:r>
        <w:rPr>
          <w:rFonts w:ascii="Calibri" w:hAnsi="Calibri" w:cs="Arial"/>
          <w:sz w:val="24"/>
          <w:szCs w:val="24"/>
        </w:rPr>
        <w:t xml:space="preserve"> Indirect GHG emissions from purchased electricity and steam.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Emission Factor:</w:t>
      </w:r>
      <w:r>
        <w:rPr>
          <w:rFonts w:ascii="Calibri" w:hAnsi="Calibri" w:cs="Arial"/>
          <w:sz w:val="24"/>
          <w:szCs w:val="24"/>
        </w:rPr>
        <w:t xml:space="preserve"> The value used to convert energy use into CO2e, taken from recognised national or international sources.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ENERGY MEASUREMENT</w:t>
      </w:r>
    </w:p>
    <w:p>
      <w:pPr>
        <w:pStyle w:val="ListeParagraf"/>
        <w:spacing w:after="80"/>
        <w:ind w:left="709" w:right="0"/>
        <w:jc w:val="both"/>
      </w:pPr>
      <w:r>
        <w:rPr>
          <w:rFonts w:ascii="Calibri" w:hAnsi="Calibri" w:cs="Arial"/>
          <w:sz w:val="24"/>
          <w:szCs w:val="24"/>
        </w:rPr>
        <w:t xml:space="preserve">1.1. Main meters are installed for each energy source, and sub-meters are installed for significant energy users where possible.</w:t>
      </w:r>
    </w:p>
    <w:p>
      <w:pPr>
        <w:pStyle w:val="ListeParagraf"/>
        <w:spacing w:after="80"/>
        <w:ind w:left="709" w:right="0"/>
        <w:jc w:val="both"/>
      </w:pPr>
      <w:r>
        <w:rPr>
          <w:rFonts w:ascii="Calibri" w:hAnsi="Calibri" w:cs="Arial"/>
          <w:sz w:val="24"/>
          <w:szCs w:val="24"/>
        </w:rPr>
        <w:t xml:space="preserve">1.2. Meters are read monthly (daily for boilers and main electricity) and recorded on the energy reading form; meters are checked or calibrated at defined intervals.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ENERGY REVIEW</w:t>
      </w:r>
    </w:p>
    <w:p>
      <w:pPr>
        <w:pStyle w:val="ListeParagraf"/>
        <w:spacing w:after="80"/>
        <w:ind w:left="709" w:right="0"/>
        <w:jc w:val="both"/>
      </w:pPr>
      <w:r>
        <w:rPr>
          <w:rFonts w:ascii="Calibri" w:hAnsi="Calibri" w:cs="Arial"/>
          <w:sz w:val="24"/>
          <w:szCs w:val="24"/>
        </w:rPr>
        <w:t xml:space="preserve">2.1. Every year the Maintenance Manager and the Sustainability Manager carry out an energy review to:</w:t>
      </w:r>
    </w:p>
    <w:p>
      <w:pPr>
        <w:pStyle w:val="ListeParagraf"/>
        <w:numPr>
          <w:ilvl w:val="0"/>
          <w:numId w:val="1"/>
        </w:numPr>
        <w:spacing w:after="60"/>
        <w:jc w:val="both"/>
      </w:pPr>
      <w:r>
        <w:rPr>
          <w:rFonts w:ascii="Calibri" w:hAnsi="Calibri" w:cs="Arial"/>
          <w:sz w:val="24"/>
          <w:szCs w:val="24"/>
        </w:rPr>
        <w:t xml:space="preserve">Identify significant energy users and their share of total consumption,</w:t>
      </w:r>
    </w:p>
    <w:p>
      <w:pPr>
        <w:pStyle w:val="ListeParagraf"/>
        <w:numPr>
          <w:ilvl w:val="0"/>
          <w:numId w:val="1"/>
        </w:numPr>
        <w:spacing w:after="60"/>
        <w:jc w:val="both"/>
      </w:pPr>
      <w:r>
        <w:rPr>
          <w:rFonts w:ascii="Calibri" w:hAnsi="Calibri" w:cs="Arial"/>
          <w:sz w:val="24"/>
          <w:szCs w:val="24"/>
        </w:rPr>
        <w:t xml:space="preserve">Compare energy consumption per kg of product with previous years,</w:t>
      </w:r>
    </w:p>
    <w:p>
      <w:pPr>
        <w:pStyle w:val="ListeParagraf"/>
        <w:numPr>
          <w:ilvl w:val="0"/>
          <w:numId w:val="1"/>
        </w:numPr>
        <w:spacing w:after="60"/>
        <w:jc w:val="both"/>
      </w:pPr>
      <w:r>
        <w:rPr>
          <w:rFonts w:ascii="Calibri" w:hAnsi="Calibri" w:cs="Arial"/>
          <w:sz w:val="24"/>
          <w:szCs w:val="24"/>
        </w:rPr>
        <w:t xml:space="preserve">Identify saving opportunities, for example heat recovery from dyeing wastewater and boiler flue gas, compressed air leak repair, insulation of steam lines, variable speed drives, LED lighting and solar energy.</w:t>
      </w:r>
    </w:p>
    <w:p>
      <w:pPr>
        <w:pStyle w:val="ListeParagraf"/>
        <w:spacing w:after="80"/>
        <w:ind w:left="709" w:right="0"/>
        <w:jc w:val="both"/>
      </w:pPr>
      <w:r>
        <w:rPr>
          <w:rFonts w:ascii="Calibri" w:hAnsi="Calibri" w:cs="Arial"/>
          <w:sz w:val="24"/>
          <w:szCs w:val="24"/>
        </w:rPr>
        <w:t xml:space="preserve">2.2. The results of the review are used to set energy targets and the annual energy action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OPERATIONAL CONTROL</w:t>
      </w:r>
    </w:p>
    <w:p>
      <w:pPr>
        <w:pStyle w:val="ListeParagraf"/>
        <w:spacing w:after="80"/>
        <w:ind w:left="709" w:right="0"/>
        <w:jc w:val="both"/>
      </w:pPr>
      <w:r>
        <w:rPr>
          <w:rFonts w:ascii="Calibri" w:hAnsi="Calibri" w:cs="Arial"/>
          <w:sz w:val="24"/>
          <w:szCs w:val="24"/>
        </w:rPr>
        <w:t xml:space="preserve">3.1. Boiler efficiency, condensate return and flue gas values are checked regularly and recorded.</w:t>
      </w:r>
    </w:p>
    <w:p>
      <w:pPr>
        <w:pStyle w:val="ListeParagraf"/>
        <w:spacing w:after="80"/>
        <w:ind w:left="709" w:right="0"/>
        <w:jc w:val="both"/>
      </w:pPr>
      <w:r>
        <w:rPr>
          <w:rFonts w:ascii="Calibri" w:hAnsi="Calibri" w:cs="Arial"/>
          <w:sz w:val="24"/>
          <w:szCs w:val="24"/>
        </w:rPr>
        <w:t xml:space="preserve">3.2. A compressed air and steam leak survey is carried out every quarter and found leaks are repaired with priority.</w:t>
      </w:r>
    </w:p>
    <w:p>
      <w:pPr>
        <w:pStyle w:val="ListeParagraf"/>
        <w:spacing w:after="80"/>
        <w:ind w:left="709" w:right="0"/>
        <w:jc w:val="both"/>
      </w:pPr>
      <w:r>
        <w:rPr>
          <w:rFonts w:ascii="Calibri" w:hAnsi="Calibri" w:cs="Arial"/>
          <w:sz w:val="24"/>
          <w:szCs w:val="24"/>
        </w:rPr>
        <w:t xml:space="preserve">3.3. Energy efficiency is considered when new machines and equipment are purchased; the energy class and consumption data are requested from suppliers.</w:t>
      </w:r>
    </w:p>
    <w:p>
      <w:pPr>
        <w:pStyle w:val="ListeParagraf"/>
        <w:spacing w:after="80"/>
        <w:ind w:left="709" w:right="0"/>
        <w:jc w:val="both"/>
      </w:pPr>
      <w:r>
        <w:rPr>
          <w:rFonts w:ascii="Calibri" w:hAnsi="Calibri" w:cs="Arial"/>
          <w:sz w:val="24"/>
          <w:szCs w:val="24"/>
        </w:rPr>
        <w:t xml:space="preserve">3.4. Refrigerant top-ups of air conditioning and cooling systems are recorded to calculate refrigerant leak emissions.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GHG CALCULATION AND REPORTING</w:t>
      </w:r>
    </w:p>
    <w:p>
      <w:pPr>
        <w:pStyle w:val="ListeParagraf"/>
        <w:spacing w:after="80"/>
        <w:ind w:left="709" w:right="0"/>
        <w:jc w:val="both"/>
      </w:pPr>
      <w:r>
        <w:rPr>
          <w:rFonts w:ascii="Calibri" w:hAnsi="Calibri" w:cs="Arial"/>
          <w:sz w:val="24"/>
          <w:szCs w:val="24"/>
        </w:rPr>
        <w:t xml:space="preserve">4.1. Every month, Scope 1 and Scope 2 emissions are calculated from energy and fuel data using up-to-date emission factors, in line with the GHG Protocol.</w:t>
      </w:r>
    </w:p>
    <w:p>
      <w:pPr>
        <w:pStyle w:val="ListeParagraf"/>
        <w:spacing w:after="80"/>
        <w:ind w:left="709" w:right="0"/>
        <w:jc w:val="both"/>
      </w:pPr>
      <w:r>
        <w:rPr>
          <w:rFonts w:ascii="Calibri" w:hAnsi="Calibri" w:cs="Arial"/>
          <w:sz w:val="24"/>
          <w:szCs w:val="24"/>
        </w:rPr>
        <w:t xml:space="preserve">4.2. Annual results are reported in the Higg FEM and to customers on request; the calculation file and its sources are kept as evidence.</w:t>
      </w:r>
    </w:p>
    <w:p>
      <w:pPr>
        <w:pStyle w:val="ListeParagraf"/>
        <w:spacing w:after="80"/>
        <w:ind w:left="709" w:right="0"/>
        <w:jc w:val="both"/>
      </w:pPr>
      <w:r>
        <w:rPr>
          <w:rFonts w:ascii="Calibri" w:hAnsi="Calibri" w:cs="Arial"/>
          <w:sz w:val="24"/>
          <w:szCs w:val="24"/>
        </w:rPr>
        <w:t xml:space="preserve">4.3. Where available, data on Scope 3 sources (purchased materials, transport, waste) is also collected to support customer requests.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following indicators are monitored every month and reported in the management review:</w:t>
      </w:r>
    </w:p>
    <w:p>
      <w:pPr>
        <w:pStyle w:val="ListeParagraf"/>
        <w:numPr>
          <w:ilvl w:val="0"/>
          <w:numId w:val="1"/>
        </w:numPr>
        <w:spacing w:after="60"/>
        <w:jc w:val="both"/>
      </w:pPr>
      <w:r>
        <w:rPr>
          <w:rFonts w:ascii="Calibri" w:hAnsi="Calibri" w:cs="Arial"/>
          <w:sz w:val="24"/>
          <w:szCs w:val="24"/>
        </w:rPr>
        <w:t xml:space="preserve">Energy consumption per kg of product (kWh/kg and MJ/kg),</w:t>
      </w:r>
    </w:p>
    <w:p>
      <w:pPr>
        <w:pStyle w:val="ListeParagraf"/>
        <w:numPr>
          <w:ilvl w:val="0"/>
          <w:numId w:val="1"/>
        </w:numPr>
        <w:spacing w:after="60"/>
        <w:jc w:val="both"/>
      </w:pPr>
      <w:r>
        <w:rPr>
          <w:rFonts w:ascii="Calibri" w:hAnsi="Calibri" w:cs="Arial"/>
          <w:sz w:val="24"/>
          <w:szCs w:val="24"/>
        </w:rPr>
        <w:t xml:space="preserve">Scope 1 and Scope 2 GHG emissions (tCO2e) and emissions per kg of product,</w:t>
      </w:r>
    </w:p>
    <w:p>
      <w:pPr>
        <w:pStyle w:val="ListeParagraf"/>
        <w:numPr>
          <w:ilvl w:val="0"/>
          <w:numId w:val="1"/>
        </w:numPr>
        <w:spacing w:after="60"/>
        <w:jc w:val="both"/>
      </w:pPr>
      <w:r>
        <w:rPr>
          <w:rFonts w:ascii="Calibri" w:hAnsi="Calibri" w:cs="Arial"/>
          <w:sz w:val="24"/>
          <w:szCs w:val="24"/>
        </w:rPr>
        <w:t xml:space="preserve">Share of renewable energy in total energy use (%),</w:t>
      </w:r>
    </w:p>
    <w:p>
      <w:pPr>
        <w:pStyle w:val="ListeParagraf"/>
        <w:numPr>
          <w:ilvl w:val="0"/>
          <w:numId w:val="1"/>
        </w:numPr>
        <w:spacing w:after="60"/>
        <w:jc w:val="both"/>
      </w:pPr>
      <w:r>
        <w:rPr>
          <w:rFonts w:ascii="Calibri" w:hAnsi="Calibri" w:cs="Arial"/>
          <w:sz w:val="24"/>
          <w:szCs w:val="24"/>
        </w:rPr>
        <w:t xml:space="preserve">Number of leaks found and repaired, and progress of energy saving projects.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Energy Reading Forms and Meter Calibration Records</w:t>
      </w:r>
    </w:p>
    <w:p>
      <w:pPr>
        <w:pStyle w:val="ListeParagraf"/>
        <w:numPr>
          <w:ilvl w:val="0"/>
          <w:numId w:val="1"/>
        </w:numPr>
        <w:spacing w:after="60"/>
        <w:jc w:val="both"/>
      </w:pPr>
      <w:r>
        <w:rPr>
          <w:rFonts w:ascii="Calibri" w:hAnsi="Calibri" w:cs="Arial"/>
          <w:sz w:val="24"/>
          <w:szCs w:val="24"/>
        </w:rPr>
        <w:t xml:space="preserve">Annual Energy Review and Energy Action Plan</w:t>
      </w:r>
    </w:p>
    <w:p>
      <w:pPr>
        <w:pStyle w:val="ListeParagraf"/>
        <w:numPr>
          <w:ilvl w:val="0"/>
          <w:numId w:val="1"/>
        </w:numPr>
        <w:spacing w:after="60"/>
        <w:jc w:val="both"/>
      </w:pPr>
      <w:r>
        <w:rPr>
          <w:rFonts w:ascii="Calibri" w:hAnsi="Calibri" w:cs="Arial"/>
          <w:sz w:val="24"/>
          <w:szCs w:val="24"/>
        </w:rPr>
        <w:t xml:space="preserve">GHG Calculation File (Scope 1 and Scope 2)</w:t>
      </w:r>
    </w:p>
    <w:p>
      <w:pPr>
        <w:pStyle w:val="ListeParagraf"/>
        <w:numPr>
          <w:ilvl w:val="0"/>
          <w:numId w:val="1"/>
        </w:numPr>
        <w:spacing w:after="60"/>
        <w:jc w:val="both"/>
      </w:pPr>
      <w:r>
        <w:rPr>
          <w:rFonts w:ascii="Calibri" w:hAnsi="Calibri" w:cs="Arial"/>
          <w:sz w:val="24"/>
          <w:szCs w:val="24"/>
        </w:rPr>
        <w:t xml:space="preserve">Leak Survey Records</w:t>
      </w:r>
    </w:p>
    <w:p>
      <w:pPr>
        <w:pStyle w:val="ListeParagraf"/>
        <w:numPr>
          <w:ilvl w:val="0"/>
          <w:numId w:val="1"/>
        </w:numPr>
        <w:spacing w:after="60"/>
        <w:jc w:val="both"/>
      </w:pPr>
      <w:r>
        <w:rPr>
          <w:rFonts w:ascii="Calibri" w:hAnsi="Calibri" w:cs="Arial"/>
          <w:sz w:val="24"/>
          <w:szCs w:val="24"/>
        </w:rPr>
        <w:t xml:space="preserve">EMS.SR.PRO.16.01. Sustainability Targets and Higg FEM Data Management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Sustainability Manager and the Maintenance Manager. Energy review results, verification findings and suggestions from employees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قياس استهلاك الطاقة والتحكم فيه وتقليله، وكيفية حساب انبعاثات غازات الاحتباس الحراري (GHG) والإبلاغ عنها وتقليلها في شركة إيروغلو للتريكو (EMS)، وذلك لخفض التكاليف ودعم أهداف العملاء المناخية وتقليل أثر الشركة على تغير المناخ.</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مصادر الطاقة المستخدمة في منشأة EMS (كهرباء الشبكة والغاز الطبيعي والديزل وغاز LPG والبخار وأي طاقة متجددة في الموقع)، وجميع المستخدمين الرئيسيين للطاقة مثل الغلايات وآلات الرام والمجففات وآلات الصباغة والضواغط والتكييف، وحساب انبعاثات GHG من النطاق 1 والنطاق 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أهداف خفض الطاقة وانبعاثات GHG والاستثمارات اللازمة.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الاستدامة (المسؤولية الاجتماعية):</w:t>
      </w:r>
      <w:r>
        <w:rPr>
          <w:rFonts w:ascii="Calibri" w:hAnsi="Calibri" w:cs="Arial"/>
          <w:rtl/>
          <w:sz w:val="24"/>
          <w:szCs w:val="24"/>
        </w:rPr>
        <w:t xml:space="preserve"> يحسب انبعاثات GHG ويبلغ عنها، ويتابع الأهداف، وينسق مشاريع توفير الطاقة.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يدير العدادات الرئيسية والفرعية، وينفذ تدقيقات الطاقة، ويتحكم في التسربات، ويطبق إجراءات توفير الطاقة الفنية.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والمشغلون:</w:t>
      </w:r>
      <w:r>
        <w:rPr>
          <w:rFonts w:ascii="Calibri" w:hAnsi="Calibri" w:cs="Arial"/>
          <w:rtl/>
          <w:sz w:val="24"/>
          <w:szCs w:val="24"/>
        </w:rPr>
        <w:t xml:space="preserve"> يطفئون الآلات والإضاءة والتكييف عند عدم الحاجة، ويبلغون عن تسربات البخار والهواء والمياه.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المستخدم الرئيسي للطاقة (SEU):</w:t>
      </w:r>
      <w:r>
        <w:rPr>
          <w:rFonts w:ascii="Calibri" w:hAnsi="Calibri" w:cs="Arial"/>
          <w:rtl/>
          <w:sz w:val="24"/>
          <w:szCs w:val="24"/>
        </w:rPr>
        <w:t xml:space="preserve"> معدة أو عملية تستهلك حصة كبيرة من الطاقة وتتيح فرصة للتحسين.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انبعاثات النطاق 1:</w:t>
      </w:r>
      <w:r>
        <w:rPr>
          <w:rFonts w:ascii="Calibri" w:hAnsi="Calibri" w:cs="Arial"/>
          <w:rtl/>
          <w:sz w:val="24"/>
          <w:szCs w:val="24"/>
        </w:rPr>
        <w:t xml:space="preserve"> انبعاثات GHG المباشرة الناتجة عن الوقود المحروق في الموقع (الغلايات والمولدات والمركبات) وتسربات غازات التبريد.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انبعاثات النطاق 2:</w:t>
      </w:r>
      <w:r>
        <w:rPr>
          <w:rFonts w:ascii="Calibri" w:hAnsi="Calibri" w:cs="Arial"/>
          <w:rtl/>
          <w:sz w:val="24"/>
          <w:szCs w:val="24"/>
        </w:rPr>
        <w:t xml:space="preserve"> انبعاثات GHG غير المباشرة الناتجة عن الكهرباء والبخار المشتراة.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معامل الانبعاث:</w:t>
      </w:r>
      <w:r>
        <w:rPr>
          <w:rFonts w:ascii="Calibri" w:hAnsi="Calibri" w:cs="Arial"/>
          <w:rtl/>
          <w:sz w:val="24"/>
          <w:szCs w:val="24"/>
        </w:rPr>
        <w:t xml:space="preserve"> القيمة المستخدمة لتحويل استهلاك الطاقة إلى CO2e، وتُؤخذ من مصادر وطنية أو دولية معترف بها.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قياس الطاقة</w:t>
      </w:r>
    </w:p>
    <w:p>
      <w:pPr>
        <w:pStyle w:val="ListeParagraf"/>
        <w:bidi/>
        <w:spacing w:after="80"/>
        <w:ind w:left="0" w:right="709"/>
        <w:jc w:val="both"/>
      </w:pPr>
      <w:r>
        <w:rPr>
          <w:rFonts w:ascii="Calibri" w:hAnsi="Calibri" w:cs="Arial"/>
          <w:rtl/>
          <w:sz w:val="24"/>
          <w:szCs w:val="24"/>
        </w:rPr>
        <w:t xml:space="preserve">1.1. تُركب عدادات رئيسية لكل مصدر طاقة، وعدادات فرعية للمستخدمين الرئيسيين للطاقة حيثما أمكن.</w:t>
      </w:r>
    </w:p>
    <w:p>
      <w:pPr>
        <w:pStyle w:val="ListeParagraf"/>
        <w:bidi/>
        <w:spacing w:after="80"/>
        <w:ind w:left="0" w:right="709"/>
        <w:jc w:val="both"/>
      </w:pPr>
      <w:r>
        <w:rPr>
          <w:rFonts w:ascii="Calibri" w:hAnsi="Calibri" w:cs="Arial"/>
          <w:rtl/>
          <w:sz w:val="24"/>
          <w:szCs w:val="24"/>
        </w:rPr>
        <w:t xml:space="preserve">1.2. تُقرأ العدادات شهريًا (ويوميًا للغلايات والكهرباء الرئيسية) وتُسجل في نموذج قراءة الطاقة، وتُفحص العدادات أو تُعاير على فترات محددة.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مراجعة الطاقة</w:t>
      </w:r>
    </w:p>
    <w:p>
      <w:pPr>
        <w:pStyle w:val="ListeParagraf"/>
        <w:bidi/>
        <w:spacing w:after="80"/>
        <w:ind w:left="0" w:right="709"/>
        <w:jc w:val="both"/>
      </w:pPr>
      <w:r>
        <w:rPr>
          <w:rFonts w:ascii="Calibri" w:hAnsi="Calibri" w:cs="Arial"/>
          <w:rtl/>
          <w:sz w:val="24"/>
          <w:szCs w:val="24"/>
        </w:rPr>
        <w:t xml:space="preserve">2.1. يجري مدير الصيانة ومدير الاستدامة مراجعة سنوية للطاقة من أجل:</w:t>
      </w:r>
    </w:p>
    <w:p>
      <w:pPr>
        <w:pStyle w:val="ListeParagraf"/>
        <w:numPr>
          <w:ilvl w:val="0"/>
          <w:numId w:val="1"/>
        </w:numPr>
        <w:bidi/>
        <w:spacing w:after="60"/>
        <w:jc w:val="both"/>
      </w:pPr>
      <w:r>
        <w:rPr>
          <w:rFonts w:ascii="Calibri" w:hAnsi="Calibri" w:cs="Arial"/>
          <w:rtl/>
          <w:sz w:val="24"/>
          <w:szCs w:val="24"/>
        </w:rPr>
        <w:t xml:space="preserve">تحديد المستخدمين الرئيسيين للطاقة وحصتهم من إجمالي الاستهلاك،</w:t>
      </w:r>
    </w:p>
    <w:p>
      <w:pPr>
        <w:pStyle w:val="ListeParagraf"/>
        <w:numPr>
          <w:ilvl w:val="0"/>
          <w:numId w:val="1"/>
        </w:numPr>
        <w:bidi/>
        <w:spacing w:after="60"/>
        <w:jc w:val="both"/>
      </w:pPr>
      <w:r>
        <w:rPr>
          <w:rFonts w:ascii="Calibri" w:hAnsi="Calibri" w:cs="Arial"/>
          <w:rtl/>
          <w:sz w:val="24"/>
          <w:szCs w:val="24"/>
        </w:rPr>
        <w:t xml:space="preserve">مقارنة استهلاك الطاقة لكل كيلوغرام من المنتج بالسنوات السابقة،</w:t>
      </w:r>
    </w:p>
    <w:p>
      <w:pPr>
        <w:pStyle w:val="ListeParagraf"/>
        <w:numPr>
          <w:ilvl w:val="0"/>
          <w:numId w:val="1"/>
        </w:numPr>
        <w:bidi/>
        <w:spacing w:after="60"/>
        <w:jc w:val="both"/>
      </w:pPr>
      <w:r>
        <w:rPr>
          <w:rFonts w:ascii="Calibri" w:hAnsi="Calibri" w:cs="Arial"/>
          <w:rtl/>
          <w:sz w:val="24"/>
          <w:szCs w:val="24"/>
        </w:rPr>
        <w:t xml:space="preserve">تحديد فرص التوفير، مثل استرجاع الحرارة من مياه صرف الصباغة وغازات مداخن الغلايات، وإصلاح تسربات الهواء المضغوط، وعزل خطوط البخار، ومحركات السرعة المتغيرة، والإضاءة LED، والطاقة الشمسية.</w:t>
      </w:r>
    </w:p>
    <w:p>
      <w:pPr>
        <w:pStyle w:val="ListeParagraf"/>
        <w:bidi/>
        <w:spacing w:after="80"/>
        <w:ind w:left="0" w:right="709"/>
        <w:jc w:val="both"/>
      </w:pPr>
      <w:r>
        <w:rPr>
          <w:rFonts w:ascii="Calibri" w:hAnsi="Calibri" w:cs="Arial"/>
          <w:rtl/>
          <w:sz w:val="24"/>
          <w:szCs w:val="24"/>
        </w:rPr>
        <w:t xml:space="preserve">2.2. تُستخدم نتائج المراجعة لوضع أهداف الطاقة وخطة عمل الطاقة السنوية.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التحكم التشغيلي</w:t>
      </w:r>
    </w:p>
    <w:p>
      <w:pPr>
        <w:pStyle w:val="ListeParagraf"/>
        <w:bidi/>
        <w:spacing w:after="80"/>
        <w:ind w:left="0" w:right="709"/>
        <w:jc w:val="both"/>
      </w:pPr>
      <w:r>
        <w:rPr>
          <w:rFonts w:ascii="Calibri" w:hAnsi="Calibri" w:cs="Arial"/>
          <w:rtl/>
          <w:sz w:val="24"/>
          <w:szCs w:val="24"/>
        </w:rPr>
        <w:t xml:space="preserve">3.1. تُفحص كفاءة الغلايات وعودة المكثفات وقيم غازات المداخن بانتظام وتُسجل.</w:t>
      </w:r>
    </w:p>
    <w:p>
      <w:pPr>
        <w:pStyle w:val="ListeParagraf"/>
        <w:bidi/>
        <w:spacing w:after="80"/>
        <w:ind w:left="0" w:right="709"/>
        <w:jc w:val="both"/>
      </w:pPr>
      <w:r>
        <w:rPr>
          <w:rFonts w:ascii="Calibri" w:hAnsi="Calibri" w:cs="Arial"/>
          <w:rtl/>
          <w:sz w:val="24"/>
          <w:szCs w:val="24"/>
        </w:rPr>
        <w:t xml:space="preserve">3.2. يُجرى مسح لتسربات الهواء المضغوط والبخار كل ربع سنة، وتُصلح التسربات المكتشفة بأولوية.</w:t>
      </w:r>
    </w:p>
    <w:p>
      <w:pPr>
        <w:pStyle w:val="ListeParagraf"/>
        <w:bidi/>
        <w:spacing w:after="80"/>
        <w:ind w:left="0" w:right="709"/>
        <w:jc w:val="both"/>
      </w:pPr>
      <w:r>
        <w:rPr>
          <w:rFonts w:ascii="Calibri" w:hAnsi="Calibri" w:cs="Arial"/>
          <w:rtl/>
          <w:sz w:val="24"/>
          <w:szCs w:val="24"/>
        </w:rPr>
        <w:t xml:space="preserve">3.3. تُراعى كفاءة الطاقة عند شراء آلات ومعدات جديدة، ويُطلب من الموردين فئة الطاقة وبيانات الاستهلاك.</w:t>
      </w:r>
    </w:p>
    <w:p>
      <w:pPr>
        <w:pStyle w:val="ListeParagraf"/>
        <w:bidi/>
        <w:spacing w:after="80"/>
        <w:ind w:left="0" w:right="709"/>
        <w:jc w:val="both"/>
      </w:pPr>
      <w:r>
        <w:rPr>
          <w:rFonts w:ascii="Calibri" w:hAnsi="Calibri" w:cs="Arial"/>
          <w:rtl/>
          <w:sz w:val="24"/>
          <w:szCs w:val="24"/>
        </w:rPr>
        <w:t xml:space="preserve">3.4. تُسجل عمليات إعادة تعبئة غازات التبريد لأنظمة التكييف والتبريد لحساب انبعاثات تسرب غازات التبريد.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حساب انبعاثات GHG والإبلاغ عنها</w:t>
      </w:r>
    </w:p>
    <w:p>
      <w:pPr>
        <w:pStyle w:val="ListeParagraf"/>
        <w:bidi/>
        <w:spacing w:after="80"/>
        <w:ind w:left="0" w:right="709"/>
        <w:jc w:val="both"/>
      </w:pPr>
      <w:r>
        <w:rPr>
          <w:rFonts w:ascii="Calibri" w:hAnsi="Calibri" w:cs="Arial"/>
          <w:rtl/>
          <w:sz w:val="24"/>
          <w:szCs w:val="24"/>
        </w:rPr>
        <w:t xml:space="preserve">4.1. تُحسب انبعاثات النطاق 1 والنطاق 2 شهريًا من بيانات الطاقة والوقود باستخدام معاملات انبعاث محدّثة، بما يتوافق مع بروتوكول GHG Protocol.</w:t>
      </w:r>
    </w:p>
    <w:p>
      <w:pPr>
        <w:pStyle w:val="ListeParagraf"/>
        <w:bidi/>
        <w:spacing w:after="80"/>
        <w:ind w:left="0" w:right="709"/>
        <w:jc w:val="both"/>
      </w:pPr>
      <w:r>
        <w:rPr>
          <w:rFonts w:ascii="Calibri" w:hAnsi="Calibri" w:cs="Arial"/>
          <w:rtl/>
          <w:sz w:val="24"/>
          <w:szCs w:val="24"/>
        </w:rPr>
        <w:t xml:space="preserve">4.2. يُبلغ عن النتائج السنوية في Higg FEM وللعملاء عند الطلب، ويُحتفظ بملف الحساب ومصادره كدليل.</w:t>
      </w:r>
    </w:p>
    <w:p>
      <w:pPr>
        <w:pStyle w:val="ListeParagraf"/>
        <w:bidi/>
        <w:spacing w:after="80"/>
        <w:ind w:left="0" w:right="709"/>
        <w:jc w:val="both"/>
      </w:pPr>
      <w:r>
        <w:rPr>
          <w:rFonts w:ascii="Calibri" w:hAnsi="Calibri" w:cs="Arial"/>
          <w:rtl/>
          <w:sz w:val="24"/>
          <w:szCs w:val="24"/>
        </w:rPr>
        <w:t xml:space="preserve">4.3. تُجمع أيضًا، حيثما توفرت، بيانات مصادر النطاق 3 (المواد المشتراة والنقل والنفايات) لدعم طلبات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تُتابع المؤشرات التالية شهريًا ويُبلغ عنها في مراجعة الإدارة:</w:t>
      </w:r>
    </w:p>
    <w:p>
      <w:pPr>
        <w:pStyle w:val="ListeParagraf"/>
        <w:numPr>
          <w:ilvl w:val="0"/>
          <w:numId w:val="1"/>
        </w:numPr>
        <w:bidi/>
        <w:spacing w:after="60"/>
        <w:jc w:val="both"/>
      </w:pPr>
      <w:r>
        <w:rPr>
          <w:rFonts w:ascii="Calibri" w:hAnsi="Calibri" w:cs="Arial"/>
          <w:rtl/>
          <w:sz w:val="24"/>
          <w:szCs w:val="24"/>
        </w:rPr>
        <w:t xml:space="preserve">استهلاك الطاقة لكل كيلوغرام من المنتج (kWh/kg وMJ/kg)،</w:t>
      </w:r>
    </w:p>
    <w:p>
      <w:pPr>
        <w:pStyle w:val="ListeParagraf"/>
        <w:numPr>
          <w:ilvl w:val="0"/>
          <w:numId w:val="1"/>
        </w:numPr>
        <w:bidi/>
        <w:spacing w:after="60"/>
        <w:jc w:val="both"/>
      </w:pPr>
      <w:r>
        <w:rPr>
          <w:rFonts w:ascii="Calibri" w:hAnsi="Calibri" w:cs="Arial"/>
          <w:rtl/>
          <w:sz w:val="24"/>
          <w:szCs w:val="24"/>
        </w:rPr>
        <w:t xml:space="preserve">انبعاثات GHG من النطاق 1 والنطاق 2 (tCO2e) والانبعاثات لكل كيلوغرام من المنتج،</w:t>
      </w:r>
    </w:p>
    <w:p>
      <w:pPr>
        <w:pStyle w:val="ListeParagraf"/>
        <w:numPr>
          <w:ilvl w:val="0"/>
          <w:numId w:val="1"/>
        </w:numPr>
        <w:bidi/>
        <w:spacing w:after="60"/>
        <w:jc w:val="both"/>
      </w:pPr>
      <w:r>
        <w:rPr>
          <w:rFonts w:ascii="Calibri" w:hAnsi="Calibri" w:cs="Arial"/>
          <w:rtl/>
          <w:sz w:val="24"/>
          <w:szCs w:val="24"/>
        </w:rPr>
        <w:t xml:space="preserve">حصة الطاقة المتجددة من إجمالي استهلاك الطاقة (%)،</w:t>
      </w:r>
    </w:p>
    <w:p>
      <w:pPr>
        <w:pStyle w:val="ListeParagraf"/>
        <w:numPr>
          <w:ilvl w:val="0"/>
          <w:numId w:val="1"/>
        </w:numPr>
        <w:bidi/>
        <w:spacing w:after="60"/>
        <w:jc w:val="both"/>
      </w:pPr>
      <w:r>
        <w:rPr>
          <w:rFonts w:ascii="Calibri" w:hAnsi="Calibri" w:cs="Arial"/>
          <w:rtl/>
          <w:sz w:val="24"/>
          <w:szCs w:val="24"/>
        </w:rPr>
        <w:t xml:space="preserve">عدد التسربات المكتشفة والمصلحة، ومدى التقدم في مشاريع توفير الطاقة.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نماذج قراءة الطاقة وسجلات معايرة العدادات</w:t>
      </w:r>
    </w:p>
    <w:p>
      <w:pPr>
        <w:pStyle w:val="ListeParagraf"/>
        <w:numPr>
          <w:ilvl w:val="0"/>
          <w:numId w:val="1"/>
        </w:numPr>
        <w:bidi/>
        <w:spacing w:after="60"/>
        <w:jc w:val="both"/>
      </w:pPr>
      <w:r>
        <w:rPr>
          <w:rFonts w:ascii="Calibri" w:hAnsi="Calibri" w:cs="Arial"/>
          <w:rtl/>
          <w:sz w:val="24"/>
          <w:szCs w:val="24"/>
        </w:rPr>
        <w:t xml:space="preserve">مراجعة الطاقة السنوية وخطة عمل الطاقة</w:t>
      </w:r>
    </w:p>
    <w:p>
      <w:pPr>
        <w:pStyle w:val="ListeParagraf"/>
        <w:numPr>
          <w:ilvl w:val="0"/>
          <w:numId w:val="1"/>
        </w:numPr>
        <w:bidi/>
        <w:spacing w:after="60"/>
        <w:jc w:val="both"/>
      </w:pPr>
      <w:r>
        <w:rPr>
          <w:rFonts w:ascii="Calibri" w:hAnsi="Calibri" w:cs="Arial"/>
          <w:rtl/>
          <w:sz w:val="24"/>
          <w:szCs w:val="24"/>
        </w:rPr>
        <w:t xml:space="preserve">ملف حساب انبعاثات GHG (النطاق 1 والنطاق 2)</w:t>
      </w:r>
    </w:p>
    <w:p>
      <w:pPr>
        <w:pStyle w:val="ListeParagraf"/>
        <w:numPr>
          <w:ilvl w:val="0"/>
          <w:numId w:val="1"/>
        </w:numPr>
        <w:bidi/>
        <w:spacing w:after="60"/>
        <w:jc w:val="both"/>
      </w:pPr>
      <w:r>
        <w:rPr>
          <w:rFonts w:ascii="Calibri" w:hAnsi="Calibri" w:cs="Arial"/>
          <w:rtl/>
          <w:sz w:val="24"/>
          <w:szCs w:val="24"/>
        </w:rPr>
        <w:t xml:space="preserve">سجلات مسح التسربات</w:t>
      </w:r>
    </w:p>
    <w:p>
      <w:pPr>
        <w:pStyle w:val="ListeParagraf"/>
        <w:numPr>
          <w:ilvl w:val="0"/>
          <w:numId w:val="1"/>
        </w:numPr>
        <w:bidi/>
        <w:spacing w:after="60"/>
        <w:jc w:val="both"/>
      </w:pPr>
      <w:r>
        <w:rPr>
          <w:rFonts w:ascii="Calibri" w:hAnsi="Calibri" w:cs="Arial"/>
          <w:rtl/>
          <w:sz w:val="24"/>
          <w:szCs w:val="24"/>
        </w:rPr>
        <w:t xml:space="preserve">EMS.SR.PRO.16.01. إجراء أهداف الاستدامة وإدارة بيانات Higg FEM</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الاستدامة ومدير الصيانة. وتُقيّم نتائج مراجعة الطاقة وملاحظات التحقق واقتراحات الموظفين،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ENERGY AND GREENHOUSE GAS MANAGEMENT PROCEDURE</w:t>
          </w:r>
        </w:p>
        <w:p>
          <w:pPr>
            <w:pStyle w:val="GvdeMetni2"/>
            <w:bidi/>
            <w:spacing w:line="276" w:lineRule="auto"/>
            <w:jc w:val="center"/>
          </w:pPr>
          <w:r>
            <w:rPr>
              <w:rFonts w:asciiTheme="minorHAnsi" w:hAnsiTheme="minorHAnsi" w:cs="Arial"/>
              <w:b/>
              <w:bCs/>
              <w:color w:val="000000" w:themeColor="text1"/>
              <w:sz w:val="22"/>
              <w:szCs w:val="22"/>
              <w:rtl/>
            </w:rPr>
            <w:t>إجراء إدارة الطاقة وغازات الاحتباس الحراري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EMS.SR.PRO.16.02.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EMS.SR.PRO.16.02. ENERGY AND GREENHOUSE GAS MANAGEMENT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