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Eroglu Knitting (EMS) determines the internal and external issues relevant to its purpose and strategic direction, identifies its interested parties and their needs and expectations, and determines the scope of the integrated management system, in line with ISO 9001, ISO 14001 and ISO 45001.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processes, departments and activities of the EMS facility in Ismailia within the scope of the integrated management system, including quality, environment, occupational health and safety, social compliance, chemical management and supply chain security.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Leads the annual context review, approves the context analysis, the interested parties register and the management system scope.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Management System Representative:</w:t>
      </w:r>
      <w:r>
        <w:rPr>
          <w:rFonts w:ascii="Calibri" w:hAnsi="Calibri" w:cs="Arial"/>
          <w:sz w:val="24"/>
          <w:szCs w:val="24"/>
        </w:rPr>
        <w:t xml:space="preserve"> Coordinates the process, organises the review workshop, maintains the records and reports the results to the management review.</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Provide information on issues and interested party requirements related to their departments and apply the resulting decisions.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CSR, HSE and Quality Managers:</w:t>
      </w:r>
      <w:r>
        <w:rPr>
          <w:rFonts w:ascii="Calibri" w:hAnsi="Calibri" w:cs="Arial"/>
          <w:sz w:val="24"/>
          <w:szCs w:val="24"/>
        </w:rPr>
        <w:t xml:space="preserve"> Bring the views of employees, worker representatives, customers, authorities and the local community into the analysis.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Context of the Organization:</w:t>
      </w:r>
      <w:r>
        <w:rPr>
          <w:rFonts w:ascii="Calibri" w:hAnsi="Calibri" w:cs="Arial"/>
          <w:sz w:val="24"/>
          <w:szCs w:val="24"/>
        </w:rPr>
        <w:t xml:space="preserve"> The combination of internal and external issues that can affect the ability of EMS to achieve the intended results of its management system.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External Issue:</w:t>
      </w:r>
      <w:r>
        <w:rPr>
          <w:rFonts w:ascii="Calibri" w:hAnsi="Calibri" w:cs="Arial"/>
          <w:sz w:val="24"/>
          <w:szCs w:val="24"/>
        </w:rPr>
        <w:t xml:space="preserve"> A factor outside EMS, such as market, legal, economic, environmental, technological, social or security conditions.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Internal Issue:</w:t>
      </w:r>
      <w:r>
        <w:rPr>
          <w:rFonts w:ascii="Calibri" w:hAnsi="Calibri" w:cs="Arial"/>
          <w:sz w:val="24"/>
          <w:szCs w:val="24"/>
        </w:rPr>
        <w:t xml:space="preserve"> A factor within EMS, such as capacity, infrastructure, workforce, knowledge, culture, finance and performance.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Interested Party:</w:t>
      </w:r>
      <w:r>
        <w:rPr>
          <w:rFonts w:ascii="Calibri" w:hAnsi="Calibri" w:cs="Arial"/>
          <w:sz w:val="24"/>
          <w:szCs w:val="24"/>
        </w:rPr>
        <w:t xml:space="preserve"> A person or organisation that can affect, be affected by, or perceive itself to be affected by a decision or activity of EMS.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Compliance Obligation:</w:t>
      </w:r>
      <w:r>
        <w:rPr>
          <w:rFonts w:ascii="Calibri" w:hAnsi="Calibri" w:cs="Arial"/>
          <w:sz w:val="24"/>
          <w:szCs w:val="24"/>
        </w:rPr>
        <w:t xml:space="preserve"> A legal requirement, or another requirement that EMS has to or chooses to comply with (e.g. customer code of conduct, RSL, certification standards).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DETERMINING EXTERNAL AND INTERNAL ISSUES</w:t>
      </w:r>
    </w:p>
    <w:p>
      <w:pPr>
        <w:pStyle w:val="ListeParagraf"/>
        <w:spacing w:after="80"/>
        <w:ind w:left="709" w:right="0"/>
        <w:jc w:val="both"/>
      </w:pPr>
      <w:r>
        <w:rPr>
          <w:rFonts w:ascii="Calibri" w:hAnsi="Calibri" w:cs="Arial"/>
          <w:sz w:val="24"/>
          <w:szCs w:val="24"/>
        </w:rPr>
        <w:t xml:space="preserve">1.1. Once a year, before the management review, the Management System Representative organises a context review workshop with the General Manager and department managers.</w:t>
      </w:r>
    </w:p>
    <w:p>
      <w:pPr>
        <w:pStyle w:val="ListeParagraf"/>
        <w:spacing w:after="80"/>
        <w:ind w:left="709" w:right="0"/>
        <w:jc w:val="both"/>
      </w:pPr>
      <w:r>
        <w:rPr>
          <w:rFonts w:ascii="Calibri" w:hAnsi="Calibri" w:cs="Arial"/>
          <w:sz w:val="24"/>
          <w:szCs w:val="24"/>
        </w:rPr>
        <w:t xml:space="preserve">1.2. External issues are evaluated with the PESTLE method, including: customer and brand trends, order volumes and lead times, exchange rates and input costs, energy and water availability, climate and environmental conditions, applicable Egyptian legislation, labour market, technology and the security situation.</w:t>
      </w:r>
    </w:p>
    <w:p>
      <w:pPr>
        <w:pStyle w:val="ListeParagraf"/>
        <w:spacing w:after="80"/>
        <w:ind w:left="709" w:right="0"/>
        <w:jc w:val="both"/>
      </w:pPr>
      <w:r>
        <w:rPr>
          <w:rFonts w:ascii="Calibri" w:hAnsi="Calibri" w:cs="Arial"/>
          <w:sz w:val="24"/>
          <w:szCs w:val="24"/>
        </w:rPr>
        <w:t xml:space="preserve">1.3. Internal issues are evaluated with the SWOT method, including: knitting, dyeing and sewing capacity, condition of machines and utilities, workforce skills and turnover, financial resources, information systems, organisational knowledge and the results of audits and KPIs.</w:t>
      </w:r>
    </w:p>
    <w:p>
      <w:pPr>
        <w:pStyle w:val="ListeParagraf"/>
        <w:spacing w:after="80"/>
        <w:ind w:left="709" w:right="0"/>
        <w:jc w:val="both"/>
      </w:pPr>
      <w:r>
        <w:rPr>
          <w:rFonts w:ascii="Calibri" w:hAnsi="Calibri" w:cs="Arial"/>
          <w:sz w:val="24"/>
          <w:szCs w:val="24"/>
        </w:rPr>
        <w:t xml:space="preserve">1.4. The issues are recorded in the Context Analysis (SWOT / PESTLE) Form, with a note on how each issue may affect quality, environment, OHS or social compliance performance.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IDENTIFYING INTERESTED PARTIES AND THEIR REQUIREMENTS</w:t>
      </w:r>
    </w:p>
    <w:p>
      <w:pPr>
        <w:pStyle w:val="ListeParagraf"/>
        <w:spacing w:after="80"/>
        <w:ind w:left="709" w:right="0"/>
        <w:jc w:val="both"/>
      </w:pPr>
      <w:r>
        <w:rPr>
          <w:rFonts w:ascii="Calibri" w:hAnsi="Calibri" w:cs="Arial"/>
          <w:sz w:val="24"/>
          <w:szCs w:val="24"/>
        </w:rPr>
        <w:t xml:space="preserve">2.1. The relevant interested parties are listed in the Interested Parties Register. As a minimum these include:</w:t>
      </w:r>
    </w:p>
    <w:p>
      <w:pPr>
        <w:pStyle w:val="ListeParagraf"/>
        <w:numPr>
          <w:ilvl w:val="0"/>
          <w:numId w:val="1"/>
        </w:numPr>
        <w:spacing w:after="60"/>
        <w:jc w:val="both"/>
      </w:pPr>
      <w:r>
        <w:rPr>
          <w:rFonts w:ascii="Calibri" w:hAnsi="Calibri" w:cs="Arial"/>
          <w:sz w:val="24"/>
          <w:szCs w:val="24"/>
        </w:rPr>
        <w:t xml:space="preserve">Customers and brands (quality, on-time delivery, code of conduct, RSL, certification and audit requirements),</w:t>
      </w:r>
    </w:p>
    <w:p>
      <w:pPr>
        <w:pStyle w:val="ListeParagraf"/>
        <w:numPr>
          <w:ilvl w:val="0"/>
          <w:numId w:val="1"/>
        </w:numPr>
        <w:spacing w:after="60"/>
        <w:jc w:val="both"/>
      </w:pPr>
      <w:r>
        <w:rPr>
          <w:rFonts w:ascii="Calibri" w:hAnsi="Calibri" w:cs="Arial"/>
          <w:sz w:val="24"/>
          <w:szCs w:val="24"/>
        </w:rPr>
        <w:t xml:space="preserve">Employees and worker representatives (safe workplace, fair wages and working hours, respect and grievance channels),</w:t>
      </w:r>
    </w:p>
    <w:p>
      <w:pPr>
        <w:pStyle w:val="ListeParagraf"/>
        <w:numPr>
          <w:ilvl w:val="0"/>
          <w:numId w:val="1"/>
        </w:numPr>
        <w:spacing w:after="60"/>
        <w:jc w:val="both"/>
      </w:pPr>
      <w:r>
        <w:rPr>
          <w:rFonts w:ascii="Calibri" w:hAnsi="Calibri" w:cs="Arial"/>
          <w:sz w:val="24"/>
          <w:szCs w:val="24"/>
        </w:rPr>
        <w:t xml:space="preserve">Authorities (legal compliance, permits, inspections, environmental limits),</w:t>
      </w:r>
    </w:p>
    <w:p>
      <w:pPr>
        <w:pStyle w:val="ListeParagraf"/>
        <w:numPr>
          <w:ilvl w:val="0"/>
          <w:numId w:val="1"/>
        </w:numPr>
        <w:spacing w:after="60"/>
        <w:jc w:val="both"/>
      </w:pPr>
      <w:r>
        <w:rPr>
          <w:rFonts w:ascii="Calibri" w:hAnsi="Calibri" w:cs="Arial"/>
          <w:sz w:val="24"/>
          <w:szCs w:val="24"/>
        </w:rPr>
        <w:t xml:space="preserve">Suppliers and subcontractors (clear requirements, fair payment, long-term cooperation),</w:t>
      </w:r>
    </w:p>
    <w:p>
      <w:pPr>
        <w:pStyle w:val="ListeParagraf"/>
        <w:numPr>
          <w:ilvl w:val="0"/>
          <w:numId w:val="1"/>
        </w:numPr>
        <w:spacing w:after="60"/>
        <w:jc w:val="both"/>
      </w:pPr>
      <w:r>
        <w:rPr>
          <w:rFonts w:ascii="Calibri" w:hAnsi="Calibri" w:cs="Arial"/>
          <w:sz w:val="24"/>
          <w:szCs w:val="24"/>
        </w:rPr>
        <w:t xml:space="preserve">Local community and neighbours (noise, wastewater, traffic, employment),</w:t>
      </w:r>
    </w:p>
    <w:p>
      <w:pPr>
        <w:pStyle w:val="ListeParagraf"/>
        <w:numPr>
          <w:ilvl w:val="0"/>
          <w:numId w:val="1"/>
        </w:numPr>
        <w:spacing w:after="60"/>
        <w:jc w:val="both"/>
      </w:pPr>
      <w:r>
        <w:rPr>
          <w:rFonts w:ascii="Calibri" w:hAnsi="Calibri" w:cs="Arial"/>
          <w:sz w:val="24"/>
          <w:szCs w:val="24"/>
        </w:rPr>
        <w:t xml:space="preserve">Certification bodies, auditors, shareholders and banks.</w:t>
      </w:r>
    </w:p>
    <w:p>
      <w:pPr>
        <w:pStyle w:val="ListeParagraf"/>
        <w:spacing w:after="80"/>
        <w:ind w:left="709" w:right="0"/>
        <w:jc w:val="both"/>
      </w:pPr>
      <w:r>
        <w:rPr>
          <w:rFonts w:ascii="Calibri" w:hAnsi="Calibri" w:cs="Arial"/>
          <w:sz w:val="24"/>
          <w:szCs w:val="24"/>
        </w:rPr>
        <w:t xml:space="preserve">2.2. For each requirement, the register states whether it is a compliance obligation, how it is addressed (procedure, objective, control) and which department is responsible.</w:t>
      </w:r>
    </w:p>
    <w:p>
      <w:pPr>
        <w:pStyle w:val="ListeParagraf"/>
        <w:spacing w:after="80"/>
        <w:ind w:left="709" w:right="0"/>
        <w:jc w:val="both"/>
      </w:pPr>
      <w:r>
        <w:rPr>
          <w:rFonts w:ascii="Calibri" w:hAnsi="Calibri" w:cs="Arial"/>
          <w:sz w:val="24"/>
          <w:szCs w:val="24"/>
        </w:rPr>
        <w:t xml:space="preserve">2.3. Information on requirements is collected from customer manuals and audits, employee surveys and grievance mechanisms, worker committee meetings, legal monitoring and community feedback.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DETERMINING THE SCOPE OF THE MANAGEMENT SYSTEM</w:t>
      </w:r>
    </w:p>
    <w:p>
      <w:pPr>
        <w:pStyle w:val="ListeParagraf"/>
        <w:spacing w:after="80"/>
        <w:ind w:left="709" w:right="0"/>
        <w:jc w:val="both"/>
      </w:pPr>
      <w:r>
        <w:rPr>
          <w:rFonts w:ascii="Calibri" w:hAnsi="Calibri" w:cs="Arial"/>
          <w:sz w:val="24"/>
          <w:szCs w:val="24"/>
        </w:rPr>
        <w:t xml:space="preserve">3.1. Taking into account the issues, the interested party requirements and the activities and products of EMS, the scope of the integrated management system is defined and approved by the General Manager.</w:t>
      </w:r>
    </w:p>
    <w:p>
      <w:pPr>
        <w:pStyle w:val="ListeParagraf"/>
        <w:spacing w:after="80"/>
        <w:ind w:left="709" w:right="0"/>
        <w:jc w:val="both"/>
      </w:pPr>
      <w:r>
        <w:rPr>
          <w:rFonts w:ascii="Calibri" w:hAnsi="Calibri" w:cs="Arial"/>
          <w:sz w:val="24"/>
          <w:szCs w:val="24"/>
        </w:rPr>
        <w:t xml:space="preserve">3.2. The scope states the site, the activities (knitting, dyeing and finishing, cutting, sewing, printing, embroidery, packing and dispatch) and any requirement of the standards that is not applicable, with justification.</w:t>
      </w:r>
    </w:p>
    <w:p>
      <w:pPr>
        <w:pStyle w:val="ListeParagraf"/>
        <w:spacing w:after="80"/>
        <w:ind w:left="709" w:right="0"/>
        <w:jc w:val="both"/>
      </w:pPr>
      <w:r>
        <w:rPr>
          <w:rFonts w:ascii="Calibri" w:hAnsi="Calibri" w:cs="Arial"/>
          <w:sz w:val="24"/>
          <w:szCs w:val="24"/>
        </w:rPr>
        <w:t xml:space="preserve">3.3. The scope is kept as documented information and is available to interested parties when requested.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USING THE RESULTS</w:t>
      </w:r>
    </w:p>
    <w:p>
      <w:pPr>
        <w:pStyle w:val="ListeParagraf"/>
        <w:spacing w:after="80"/>
        <w:ind w:left="709" w:right="0"/>
        <w:jc w:val="both"/>
      </w:pPr>
      <w:r>
        <w:rPr>
          <w:rFonts w:ascii="Calibri" w:hAnsi="Calibri" w:cs="Arial"/>
          <w:sz w:val="24"/>
          <w:szCs w:val="24"/>
        </w:rPr>
        <w:t xml:space="preserve">4.1. Significant issues and requirements are transferred to the risk and opportunity evaluation (EMS.YS.PRO.11.04.) and used in setting objectives and plans.</w:t>
      </w:r>
    </w:p>
    <w:p>
      <w:pPr>
        <w:pStyle w:val="ListeParagraf"/>
        <w:spacing w:after="80"/>
        <w:ind w:left="709" w:right="0"/>
        <w:jc w:val="both"/>
      </w:pPr>
      <w:r>
        <w:rPr>
          <w:rFonts w:ascii="Calibri" w:hAnsi="Calibri" w:cs="Arial"/>
          <w:sz w:val="24"/>
          <w:szCs w:val="24"/>
        </w:rPr>
        <w:t xml:space="preserve">4.2. Requirements that affect operations are communicated to the departments concerned and integrated into the relevant procedures and work instructions.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REVIEW AND UPDATE</w:t>
      </w:r>
    </w:p>
    <w:p>
      <w:pPr>
        <w:pStyle w:val="ListeParagraf"/>
        <w:spacing w:after="80"/>
        <w:ind w:left="709" w:right="0"/>
        <w:jc w:val="both"/>
      </w:pPr>
      <w:r>
        <w:rPr>
          <w:rFonts w:ascii="Calibri" w:hAnsi="Calibri" w:cs="Arial"/>
          <w:sz w:val="24"/>
          <w:szCs w:val="24"/>
        </w:rPr>
        <w:t xml:space="preserve">5.1. The context analysis and the interested parties register are reviewed at least once a year, and also when there is a significant change such as a new customer, a new process or building, a legal change, a major incident or a serious audit finding.</w:t>
      </w:r>
    </w:p>
    <w:p>
      <w:pPr>
        <w:pStyle w:val="ListeParagraf"/>
        <w:spacing w:after="80"/>
        <w:ind w:left="709" w:right="0"/>
        <w:jc w:val="both"/>
      </w:pPr>
      <w:r>
        <w:rPr>
          <w:rFonts w:ascii="Calibri" w:hAnsi="Calibri" w:cs="Arial"/>
          <w:sz w:val="24"/>
          <w:szCs w:val="24"/>
        </w:rPr>
        <w:t xml:space="preserve">5.2. The results of the review are presented as an input to the management review.</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The following indicators are monitored:</w:t>
      </w:r>
    </w:p>
    <w:p>
      <w:pPr>
        <w:pStyle w:val="ListeParagraf"/>
        <w:numPr>
          <w:ilvl w:val="0"/>
          <w:numId w:val="1"/>
        </w:numPr>
        <w:spacing w:after="60"/>
        <w:jc w:val="both"/>
      </w:pPr>
      <w:r>
        <w:rPr>
          <w:rFonts w:ascii="Calibri" w:hAnsi="Calibri" w:cs="Arial"/>
          <w:sz w:val="24"/>
          <w:szCs w:val="24"/>
        </w:rPr>
        <w:t xml:space="preserve">Context review and register update completed on schedule,</w:t>
      </w:r>
    </w:p>
    <w:p>
      <w:pPr>
        <w:pStyle w:val="ListeParagraf"/>
        <w:numPr>
          <w:ilvl w:val="0"/>
          <w:numId w:val="1"/>
        </w:numPr>
        <w:spacing w:after="60"/>
        <w:jc w:val="both"/>
      </w:pPr>
      <w:r>
        <w:rPr>
          <w:rFonts w:ascii="Calibri" w:hAnsi="Calibri" w:cs="Arial"/>
          <w:sz w:val="24"/>
          <w:szCs w:val="24"/>
        </w:rPr>
        <w:t xml:space="preserve">Number of new or changed interested party requirements identified and addressed,</w:t>
      </w:r>
    </w:p>
    <w:p>
      <w:pPr>
        <w:pStyle w:val="ListeParagraf"/>
        <w:numPr>
          <w:ilvl w:val="0"/>
          <w:numId w:val="1"/>
        </w:numPr>
        <w:spacing w:after="60"/>
        <w:jc w:val="both"/>
      </w:pPr>
      <w:r>
        <w:rPr>
          <w:rFonts w:ascii="Calibri" w:hAnsi="Calibri" w:cs="Arial"/>
          <w:sz w:val="24"/>
          <w:szCs w:val="24"/>
        </w:rPr>
        <w:t xml:space="preserve">Number of audit findings caused by unidentified requirements (target: zero).</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Context Analysis (SWOT / PESTLE) Form</w:t>
      </w:r>
    </w:p>
    <w:p>
      <w:pPr>
        <w:pStyle w:val="ListeParagraf"/>
        <w:numPr>
          <w:ilvl w:val="0"/>
          <w:numId w:val="1"/>
        </w:numPr>
        <w:spacing w:after="60"/>
        <w:jc w:val="both"/>
      </w:pPr>
      <w:r>
        <w:rPr>
          <w:rFonts w:ascii="Calibri" w:hAnsi="Calibri" w:cs="Arial"/>
          <w:sz w:val="24"/>
          <w:szCs w:val="24"/>
        </w:rPr>
        <w:t xml:space="preserve">Interested Parties Register</w:t>
      </w:r>
    </w:p>
    <w:p>
      <w:pPr>
        <w:pStyle w:val="ListeParagraf"/>
        <w:numPr>
          <w:ilvl w:val="0"/>
          <w:numId w:val="1"/>
        </w:numPr>
        <w:spacing w:after="60"/>
        <w:jc w:val="both"/>
      </w:pPr>
      <w:r>
        <w:rPr>
          <w:rFonts w:ascii="Calibri" w:hAnsi="Calibri" w:cs="Arial"/>
          <w:sz w:val="24"/>
          <w:szCs w:val="24"/>
        </w:rPr>
        <w:t xml:space="preserve">Integrated Management System Scope Statement</w:t>
      </w:r>
    </w:p>
    <w:p>
      <w:pPr>
        <w:pStyle w:val="ListeParagraf"/>
        <w:numPr>
          <w:ilvl w:val="0"/>
          <w:numId w:val="1"/>
        </w:numPr>
        <w:spacing w:after="60"/>
        <w:jc w:val="both"/>
      </w:pPr>
      <w:r>
        <w:rPr>
          <w:rFonts w:ascii="Calibri" w:hAnsi="Calibri" w:cs="Arial"/>
          <w:sz w:val="24"/>
          <w:szCs w:val="24"/>
        </w:rPr>
        <w:t xml:space="preserve">EMS.YS.POL.11.01. Integrated Management System Policy</w:t>
      </w:r>
    </w:p>
    <w:p>
      <w:pPr>
        <w:pStyle w:val="ListeParagraf"/>
        <w:numPr>
          <w:ilvl w:val="0"/>
          <w:numId w:val="1"/>
        </w:numPr>
        <w:spacing w:after="60"/>
        <w:jc w:val="both"/>
      </w:pPr>
      <w:r>
        <w:rPr>
          <w:rFonts w:ascii="Calibri" w:hAnsi="Calibri" w:cs="Arial"/>
          <w:sz w:val="24"/>
          <w:szCs w:val="24"/>
        </w:rPr>
        <w:t xml:space="preserve">EMS.YS.PRO.11.04. Risks and Opportunities Procedure</w:t>
      </w:r>
    </w:p>
    <w:p>
      <w:pPr>
        <w:pStyle w:val="ListeParagraf"/>
        <w:numPr>
          <w:ilvl w:val="0"/>
          <w:numId w:val="1"/>
        </w:numPr>
        <w:spacing w:after="60"/>
        <w:jc w:val="both"/>
      </w:pPr>
      <w:r>
        <w:rPr>
          <w:rFonts w:ascii="Calibri" w:hAnsi="Calibri" w:cs="Arial"/>
          <w:sz w:val="24"/>
          <w:szCs w:val="24"/>
        </w:rPr>
        <w:t xml:space="preserve">EMS.YS.PRO.11.05. Management Review Procedure</w:t>
      </w:r>
    </w:p>
    <w:p>
      <w:pPr>
        <w:pStyle w:val="ListeParagraf"/>
        <w:numPr>
          <w:ilvl w:val="0"/>
          <w:numId w:val="1"/>
        </w:numPr>
        <w:spacing w:after="60"/>
        <w:jc w:val="both"/>
      </w:pPr>
      <w:r>
        <w:rPr>
          <w:rFonts w:ascii="Calibri" w:hAnsi="Calibri" w:cs="Arial"/>
          <w:sz w:val="24"/>
          <w:szCs w:val="24"/>
        </w:rPr>
        <w:t xml:space="preserve">EMS.HK.PRO.17.01. Identification and Evaluation of Legal Requirements Procedure</w:t>
      </w:r>
    </w:p>
    <w:p>
      <w:pPr>
        <w:pStyle w:val="ListeParagraf"/>
        <w:numPr>
          <w:ilvl w:val="0"/>
          <w:numId w:val="1"/>
        </w:numPr>
        <w:spacing w:after="60"/>
        <w:jc w:val="both"/>
      </w:pPr>
      <w:r>
        <w:rPr>
          <w:rFonts w:ascii="Calibri" w:hAnsi="Calibri" w:cs="Arial"/>
          <w:sz w:val="24"/>
          <w:szCs w:val="24"/>
        </w:rPr>
        <w:t xml:space="preserve">EMS.MG.PRO.13.01. Customer Code of Conduct and Requirements Management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This procedure is reviewed every year by the Management System Representative. Feedback from department managers, employees, customers and audit results is evaluated and the procedure is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قيام شركة إيروغلو للتريكو (EMS) بتحديد القضايا الداخلية والخارجية ذات الصلة بغرضها وتوجهها الاستراتيجي، وتحديد الأطراف المعنية واحتياجاتها وتوقعاتها، وتحديد نطاق نظام الإدارة المتكامل، بما يتوافق مع ISO 9001 وISO 14001 وISO 45001.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عمليات وأقسام وأنشطة منشأة EMS في الإسماعيلية ضمن نطاق نظام الإدارة المتكامل، بما في ذلك الجودة والبيئة والصحة والسلامة المهنية والامتثال الاجتماعي وإدارة الكيماويات وأمن سلسلة التوريد.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يقود المراجعة السنوية للسياق، ويعتمد تحليل السياق وسجل الأطراف المعنية ونطاق نظام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ممثل نظام الإدارة:</w:t>
      </w:r>
      <w:r>
        <w:rPr>
          <w:rFonts w:ascii="Calibri" w:hAnsi="Calibri" w:cs="Arial"/>
          <w:rtl/>
          <w:sz w:val="24"/>
          <w:szCs w:val="24"/>
        </w:rPr>
        <w:t xml:space="preserve"> ينسق العملية، وينظم ورشة المراجعة، ويحتفظ بالسجلات، ويرفع النتائج إلى مراجعة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يقدمون المعلومات حول القضايا ومتطلبات الأطراف المعنية المتعلقة بأقسامهم، ويطبقون القرارات الناتجة.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الموارد البشرية والمسؤولية الاجتماعية والصحة والسلامة والبيئة والجودة:</w:t>
      </w:r>
      <w:r>
        <w:rPr>
          <w:rFonts w:ascii="Calibri" w:hAnsi="Calibri" w:cs="Arial"/>
          <w:rtl/>
          <w:sz w:val="24"/>
          <w:szCs w:val="24"/>
        </w:rPr>
        <w:t xml:space="preserve"> ينقلون آراء الموظفين وممثلي العمال والعملاء والسلطات والمجتمع المحلي إلى التحليل.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سياق المنظمة:</w:t>
      </w:r>
      <w:r>
        <w:rPr>
          <w:rFonts w:ascii="Calibri" w:hAnsi="Calibri" w:cs="Arial"/>
          <w:rtl/>
          <w:sz w:val="24"/>
          <w:szCs w:val="24"/>
        </w:rPr>
        <w:t xml:space="preserve"> مجموعة القضايا الداخلية والخارجية التي يمكن أن تؤثر على قدرة EMS على تحقيق النتائج المرجوة من نظام إدارتها.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القضية الخارجية:</w:t>
      </w:r>
      <w:r>
        <w:rPr>
          <w:rFonts w:ascii="Calibri" w:hAnsi="Calibri" w:cs="Arial"/>
          <w:rtl/>
          <w:sz w:val="24"/>
          <w:szCs w:val="24"/>
        </w:rPr>
        <w:t xml:space="preserve"> عامل خارج EMS، مثل ظروف السوق أو الظروف القانونية أو الاقتصادية أو البيئية أو التكنولوجية أو الاجتماعية أو الأمنية.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القضية الداخلية:</w:t>
      </w:r>
      <w:r>
        <w:rPr>
          <w:rFonts w:ascii="Calibri" w:hAnsi="Calibri" w:cs="Arial"/>
          <w:rtl/>
          <w:sz w:val="24"/>
          <w:szCs w:val="24"/>
        </w:rPr>
        <w:t xml:space="preserve"> عامل داخل EMS، مثل الطاقة الإنتاجية والبنية التحتية والقوى العاملة والمعرفة والثقافة والموارد المالية والأداء.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الطرف المعني:</w:t>
      </w:r>
      <w:r>
        <w:rPr>
          <w:rFonts w:ascii="Calibri" w:hAnsi="Calibri" w:cs="Arial"/>
          <w:rtl/>
          <w:sz w:val="24"/>
          <w:szCs w:val="24"/>
        </w:rPr>
        <w:t xml:space="preserve"> شخص أو جهة يمكن أن يؤثر في قرار أو نشاط لـ EMS أو يتأثر به أو يرى أنه يتأثر به.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الالتزام الامتثالي:</w:t>
      </w:r>
      <w:r>
        <w:rPr>
          <w:rFonts w:ascii="Calibri" w:hAnsi="Calibri" w:cs="Arial"/>
          <w:rtl/>
          <w:sz w:val="24"/>
          <w:szCs w:val="24"/>
        </w:rPr>
        <w:t xml:space="preserve"> متطلب قانوني، أو متطلب آخر يتعين على EMS الامتثال له أو تختار الامتثال له (مثل مدونة سلوك العميل وقائمة RSL ومعايير الاعتماد).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تحديد القضايا الخارجية والداخلية</w:t>
      </w:r>
    </w:p>
    <w:p>
      <w:pPr>
        <w:pStyle w:val="ListeParagraf"/>
        <w:bidi/>
        <w:spacing w:after="80"/>
        <w:ind w:left="0" w:right="709"/>
        <w:jc w:val="both"/>
      </w:pPr>
      <w:r>
        <w:rPr>
          <w:rFonts w:ascii="Calibri" w:hAnsi="Calibri" w:cs="Arial"/>
          <w:rtl/>
          <w:sz w:val="24"/>
          <w:szCs w:val="24"/>
        </w:rPr>
        <w:t xml:space="preserve">1.1. مرة واحدة سنويًا، وقبل مراجعة الإدارة، ينظم ممثل نظام الإدارة ورشة عمل لمراجعة السياق مع المدير العام ومديري الأقسام.</w:t>
      </w:r>
    </w:p>
    <w:p>
      <w:pPr>
        <w:pStyle w:val="ListeParagraf"/>
        <w:bidi/>
        <w:spacing w:after="80"/>
        <w:ind w:left="0" w:right="709"/>
        <w:jc w:val="both"/>
      </w:pPr>
      <w:r>
        <w:rPr>
          <w:rFonts w:ascii="Calibri" w:hAnsi="Calibri" w:cs="Arial"/>
          <w:rtl/>
          <w:sz w:val="24"/>
          <w:szCs w:val="24"/>
        </w:rPr>
        <w:t xml:space="preserve">1.2. تُقيّم القضايا الخارجية بأسلوب PESTLE، وتشمل: اتجاهات العملاء والعلامات التجارية، وحجم الطلبيات ومهل التسليم، وأسعار الصرف وتكاليف المدخلات، وتوفر الطاقة والمياه، والظروف المناخية والبيئية، والتشريعات المصرية المعمول بها، وسوق العمل، والتكنولوجيا، والوضع الأمني.</w:t>
      </w:r>
    </w:p>
    <w:p>
      <w:pPr>
        <w:pStyle w:val="ListeParagraf"/>
        <w:bidi/>
        <w:spacing w:after="80"/>
        <w:ind w:left="0" w:right="709"/>
        <w:jc w:val="both"/>
      </w:pPr>
      <w:r>
        <w:rPr>
          <w:rFonts w:ascii="Calibri" w:hAnsi="Calibri" w:cs="Arial"/>
          <w:rtl/>
          <w:sz w:val="24"/>
          <w:szCs w:val="24"/>
        </w:rPr>
        <w:t xml:space="preserve">1.3. تُقيّم القضايا الداخلية بأسلوب SWOT، وتشمل: الطاقة الإنتاجية للتريكو والصباغة والخياطة، وحالة الآلات والمرافق، ومهارات القوى العاملة ومعدل دورانها، والموارد المالية، ونظم المعلومات، والمعرفة التنظيمية، ونتائج التدقيق ومؤشرات الأداء.</w:t>
      </w:r>
    </w:p>
    <w:p>
      <w:pPr>
        <w:pStyle w:val="ListeParagraf"/>
        <w:bidi/>
        <w:spacing w:after="80"/>
        <w:ind w:left="0" w:right="709"/>
        <w:jc w:val="both"/>
      </w:pPr>
      <w:r>
        <w:rPr>
          <w:rFonts w:ascii="Calibri" w:hAnsi="Calibri" w:cs="Arial"/>
          <w:rtl/>
          <w:sz w:val="24"/>
          <w:szCs w:val="24"/>
        </w:rPr>
        <w:t xml:space="preserve">1.4. تُسجل القضايا في نموذج تحليل السياق (SWOT / PESTLE)، مع ملاحظة حول كيفية تأثير كل قضية على أداء الجودة أو البيئة أو الصحة والسلامة المهنية أو الامتثال الاجتماعي.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تحديد الأطراف المعنية ومتطلباتها</w:t>
      </w:r>
    </w:p>
    <w:p>
      <w:pPr>
        <w:pStyle w:val="ListeParagraf"/>
        <w:bidi/>
        <w:spacing w:after="80"/>
        <w:ind w:left="0" w:right="709"/>
        <w:jc w:val="both"/>
      </w:pPr>
      <w:r>
        <w:rPr>
          <w:rFonts w:ascii="Calibri" w:hAnsi="Calibri" w:cs="Arial"/>
          <w:rtl/>
          <w:sz w:val="24"/>
          <w:szCs w:val="24"/>
        </w:rPr>
        <w:t xml:space="preserve">2.1. تُدرج الأطراف المعنية ذات الصلة في سجل الأطراف المعنية، وتشمل كحد أدنى:</w:t>
      </w:r>
    </w:p>
    <w:p>
      <w:pPr>
        <w:pStyle w:val="ListeParagraf"/>
        <w:numPr>
          <w:ilvl w:val="0"/>
          <w:numId w:val="1"/>
        </w:numPr>
        <w:bidi/>
        <w:spacing w:after="60"/>
        <w:jc w:val="both"/>
      </w:pPr>
      <w:r>
        <w:rPr>
          <w:rFonts w:ascii="Calibri" w:hAnsi="Calibri" w:cs="Arial"/>
          <w:rtl/>
          <w:sz w:val="24"/>
          <w:szCs w:val="24"/>
        </w:rPr>
        <w:t xml:space="preserve">العملاء والعلامات التجارية (الجودة، والتسليم في الموعد، ومدونة السلوك، وقائمة RSL، ومتطلبات الاعتماد والتدقيق)،</w:t>
      </w:r>
    </w:p>
    <w:p>
      <w:pPr>
        <w:pStyle w:val="ListeParagraf"/>
        <w:numPr>
          <w:ilvl w:val="0"/>
          <w:numId w:val="1"/>
        </w:numPr>
        <w:bidi/>
        <w:spacing w:after="60"/>
        <w:jc w:val="both"/>
      </w:pPr>
      <w:r>
        <w:rPr>
          <w:rFonts w:ascii="Calibri" w:hAnsi="Calibri" w:cs="Arial"/>
          <w:rtl/>
          <w:sz w:val="24"/>
          <w:szCs w:val="24"/>
        </w:rPr>
        <w:t xml:space="preserve">الموظفون وممثلو العمال (مكان عمل آمن، وأجور وساعات عمل عادلة، والاحترام وقنوات الشكاوى)،</w:t>
      </w:r>
    </w:p>
    <w:p>
      <w:pPr>
        <w:pStyle w:val="ListeParagraf"/>
        <w:numPr>
          <w:ilvl w:val="0"/>
          <w:numId w:val="1"/>
        </w:numPr>
        <w:bidi/>
        <w:spacing w:after="60"/>
        <w:jc w:val="both"/>
      </w:pPr>
      <w:r>
        <w:rPr>
          <w:rFonts w:ascii="Calibri" w:hAnsi="Calibri" w:cs="Arial"/>
          <w:rtl/>
          <w:sz w:val="24"/>
          <w:szCs w:val="24"/>
        </w:rPr>
        <w:t xml:space="preserve">السلطات (الامتثال القانوني، والتصاريح، والتفتيش، والحدود البيئية)،</w:t>
      </w:r>
    </w:p>
    <w:p>
      <w:pPr>
        <w:pStyle w:val="ListeParagraf"/>
        <w:numPr>
          <w:ilvl w:val="0"/>
          <w:numId w:val="1"/>
        </w:numPr>
        <w:bidi/>
        <w:spacing w:after="60"/>
        <w:jc w:val="both"/>
      </w:pPr>
      <w:r>
        <w:rPr>
          <w:rFonts w:ascii="Calibri" w:hAnsi="Calibri" w:cs="Arial"/>
          <w:rtl/>
          <w:sz w:val="24"/>
          <w:szCs w:val="24"/>
        </w:rPr>
        <w:t xml:space="preserve">الموردون والمقاولون من الباطن (متطلبات واضحة، ودفع عادل، وتعاون طويل الأمد)،</w:t>
      </w:r>
    </w:p>
    <w:p>
      <w:pPr>
        <w:pStyle w:val="ListeParagraf"/>
        <w:numPr>
          <w:ilvl w:val="0"/>
          <w:numId w:val="1"/>
        </w:numPr>
        <w:bidi/>
        <w:spacing w:after="60"/>
        <w:jc w:val="both"/>
      </w:pPr>
      <w:r>
        <w:rPr>
          <w:rFonts w:ascii="Calibri" w:hAnsi="Calibri" w:cs="Arial"/>
          <w:rtl/>
          <w:sz w:val="24"/>
          <w:szCs w:val="24"/>
        </w:rPr>
        <w:t xml:space="preserve">المجتمع المحلي والجيران (الضوضاء، ومياه الصرف، وحركة المرور، وفرص العمل)،</w:t>
      </w:r>
    </w:p>
    <w:p>
      <w:pPr>
        <w:pStyle w:val="ListeParagraf"/>
        <w:numPr>
          <w:ilvl w:val="0"/>
          <w:numId w:val="1"/>
        </w:numPr>
        <w:bidi/>
        <w:spacing w:after="60"/>
        <w:jc w:val="both"/>
      </w:pPr>
      <w:r>
        <w:rPr>
          <w:rFonts w:ascii="Calibri" w:hAnsi="Calibri" w:cs="Arial"/>
          <w:rtl/>
          <w:sz w:val="24"/>
          <w:szCs w:val="24"/>
        </w:rPr>
        <w:t xml:space="preserve">جهات الاعتماد والمدققون والمساهمون والبنوك.</w:t>
      </w:r>
    </w:p>
    <w:p>
      <w:pPr>
        <w:pStyle w:val="ListeParagraf"/>
        <w:bidi/>
        <w:spacing w:after="80"/>
        <w:ind w:left="0" w:right="709"/>
        <w:jc w:val="both"/>
      </w:pPr>
      <w:r>
        <w:rPr>
          <w:rFonts w:ascii="Calibri" w:hAnsi="Calibri" w:cs="Arial"/>
          <w:rtl/>
          <w:sz w:val="24"/>
          <w:szCs w:val="24"/>
        </w:rPr>
        <w:t xml:space="preserve">2.2. يبين السجل لكل متطلب ما إذا كان التزامًا امتثاليًا، وكيفية التعامل معه (إجراء أو هدف أو ضابط)، والقسم المسؤول عنه.</w:t>
      </w:r>
    </w:p>
    <w:p>
      <w:pPr>
        <w:pStyle w:val="ListeParagraf"/>
        <w:bidi/>
        <w:spacing w:after="80"/>
        <w:ind w:left="0" w:right="709"/>
        <w:jc w:val="both"/>
      </w:pPr>
      <w:r>
        <w:rPr>
          <w:rFonts w:ascii="Calibri" w:hAnsi="Calibri" w:cs="Arial"/>
          <w:rtl/>
          <w:sz w:val="24"/>
          <w:szCs w:val="24"/>
        </w:rPr>
        <w:t xml:space="preserve">2.3. تُجمع المعلومات حول المتطلبات من أدلة العملاء وعمليات التدقيق، واستبيانات الموظفين وآليات الشكاوى، واجتماعات لجنة العمال، ومتابعة التشريعات، وملاحظات المجتمع المحلي.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تحديد نطاق نظام الإدارة</w:t>
      </w:r>
    </w:p>
    <w:p>
      <w:pPr>
        <w:pStyle w:val="ListeParagraf"/>
        <w:bidi/>
        <w:spacing w:after="80"/>
        <w:ind w:left="0" w:right="709"/>
        <w:jc w:val="both"/>
      </w:pPr>
      <w:r>
        <w:rPr>
          <w:rFonts w:ascii="Calibri" w:hAnsi="Calibri" w:cs="Arial"/>
          <w:rtl/>
          <w:sz w:val="24"/>
          <w:szCs w:val="24"/>
        </w:rPr>
        <w:t xml:space="preserve">3.1. مع مراعاة القضايا ومتطلبات الأطراف المعنية وأنشطة EMS ومنتجاتها، يُحدد نطاق نظام الإدارة المتكامل ويعتمده المدير العام.</w:t>
      </w:r>
    </w:p>
    <w:p>
      <w:pPr>
        <w:pStyle w:val="ListeParagraf"/>
        <w:bidi/>
        <w:spacing w:after="80"/>
        <w:ind w:left="0" w:right="709"/>
        <w:jc w:val="both"/>
      </w:pPr>
      <w:r>
        <w:rPr>
          <w:rFonts w:ascii="Calibri" w:hAnsi="Calibri" w:cs="Arial"/>
          <w:rtl/>
          <w:sz w:val="24"/>
          <w:szCs w:val="24"/>
        </w:rPr>
        <w:t xml:space="preserve">3.2. يحدد النطاق الموقع والأنشطة (التريكو والصباغة والتجهيز والقص والخياطة والطباعة والتطريز والتعبئة والشحن) وأي متطلب من متطلبات المعايير غير قابل للتطبيق مع المبرر.</w:t>
      </w:r>
    </w:p>
    <w:p>
      <w:pPr>
        <w:pStyle w:val="ListeParagraf"/>
        <w:bidi/>
        <w:spacing w:after="80"/>
        <w:ind w:left="0" w:right="709"/>
        <w:jc w:val="both"/>
      </w:pPr>
      <w:r>
        <w:rPr>
          <w:rFonts w:ascii="Calibri" w:hAnsi="Calibri" w:cs="Arial"/>
          <w:rtl/>
          <w:sz w:val="24"/>
          <w:szCs w:val="24"/>
        </w:rPr>
        <w:t xml:space="preserve">3.3. يُحفظ النطاق كمعلومات موثقة ويُتاح للأطراف المعنية عند الطلب.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استخدام النتائج</w:t>
      </w:r>
    </w:p>
    <w:p>
      <w:pPr>
        <w:pStyle w:val="ListeParagraf"/>
        <w:bidi/>
        <w:spacing w:after="80"/>
        <w:ind w:left="0" w:right="709"/>
        <w:jc w:val="both"/>
      </w:pPr>
      <w:r>
        <w:rPr>
          <w:rFonts w:ascii="Calibri" w:hAnsi="Calibri" w:cs="Arial"/>
          <w:rtl/>
          <w:sz w:val="24"/>
          <w:szCs w:val="24"/>
        </w:rPr>
        <w:t xml:space="preserve">4.1. تُنقل القضايا والمتطلبات الهامة إلى تقييم المخاطر والفرص (EMS.YS.PRO.11.04.) وتُستخدم في وضع الأهداف والخطط.</w:t>
      </w:r>
    </w:p>
    <w:p>
      <w:pPr>
        <w:pStyle w:val="ListeParagraf"/>
        <w:bidi/>
        <w:spacing w:after="80"/>
        <w:ind w:left="0" w:right="709"/>
        <w:jc w:val="both"/>
      </w:pPr>
      <w:r>
        <w:rPr>
          <w:rFonts w:ascii="Calibri" w:hAnsi="Calibri" w:cs="Arial"/>
          <w:rtl/>
          <w:sz w:val="24"/>
          <w:szCs w:val="24"/>
        </w:rPr>
        <w:t xml:space="preserve">4.2. تُبلّغ المتطلبات التي تؤثر على العمليات إلى الأقسام المعنية وتُدمج في الإجراءات وتعليمات العمل ذات الصلة.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المراجعة والتحديث</w:t>
      </w:r>
    </w:p>
    <w:p>
      <w:pPr>
        <w:pStyle w:val="ListeParagraf"/>
        <w:bidi/>
        <w:spacing w:after="80"/>
        <w:ind w:left="0" w:right="709"/>
        <w:jc w:val="both"/>
      </w:pPr>
      <w:r>
        <w:rPr>
          <w:rFonts w:ascii="Calibri" w:hAnsi="Calibri" w:cs="Arial"/>
          <w:rtl/>
          <w:sz w:val="24"/>
          <w:szCs w:val="24"/>
        </w:rPr>
        <w:t xml:space="preserve">5.1. يُراجع تحليل السياق وسجل الأطراف المعنية مرة واحدة على الأقل سنويًا، وكذلك عند حدوث تغيير هام مثل عميل جديد أو عملية أو مبنى جديد أو تغيير قانوني أو حادث كبير أو ملاحظة تدقيق جسيمة.</w:t>
      </w:r>
    </w:p>
    <w:p>
      <w:pPr>
        <w:pStyle w:val="ListeParagraf"/>
        <w:bidi/>
        <w:spacing w:after="80"/>
        <w:ind w:left="0" w:right="709"/>
        <w:jc w:val="both"/>
      </w:pPr>
      <w:r>
        <w:rPr>
          <w:rFonts w:ascii="Calibri" w:hAnsi="Calibri" w:cs="Arial"/>
          <w:rtl/>
          <w:sz w:val="24"/>
          <w:szCs w:val="24"/>
        </w:rPr>
        <w:t xml:space="preserve">5.2. تُعرض نتائج المراجعة كمدخل في مراجعة الإدارة.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تُتابع المؤشرات التالية:</w:t>
      </w:r>
    </w:p>
    <w:p>
      <w:pPr>
        <w:pStyle w:val="ListeParagraf"/>
        <w:numPr>
          <w:ilvl w:val="0"/>
          <w:numId w:val="1"/>
        </w:numPr>
        <w:bidi/>
        <w:spacing w:after="60"/>
        <w:jc w:val="both"/>
      </w:pPr>
      <w:r>
        <w:rPr>
          <w:rFonts w:ascii="Calibri" w:hAnsi="Calibri" w:cs="Arial"/>
          <w:rtl/>
          <w:sz w:val="24"/>
          <w:szCs w:val="24"/>
        </w:rPr>
        <w:t xml:space="preserve">إنجاز مراجعة السياق وتحديث السجل في الموعد المحدد،</w:t>
      </w:r>
    </w:p>
    <w:p>
      <w:pPr>
        <w:pStyle w:val="ListeParagraf"/>
        <w:numPr>
          <w:ilvl w:val="0"/>
          <w:numId w:val="1"/>
        </w:numPr>
        <w:bidi/>
        <w:spacing w:after="60"/>
        <w:jc w:val="both"/>
      </w:pPr>
      <w:r>
        <w:rPr>
          <w:rFonts w:ascii="Calibri" w:hAnsi="Calibri" w:cs="Arial"/>
          <w:rtl/>
          <w:sz w:val="24"/>
          <w:szCs w:val="24"/>
        </w:rPr>
        <w:t xml:space="preserve">عدد متطلبات الأطراف المعنية الجديدة أو المتغيرة التي تم تحديدها والتعامل معها،</w:t>
      </w:r>
    </w:p>
    <w:p>
      <w:pPr>
        <w:pStyle w:val="ListeParagraf"/>
        <w:numPr>
          <w:ilvl w:val="0"/>
          <w:numId w:val="1"/>
        </w:numPr>
        <w:bidi/>
        <w:spacing w:after="60"/>
        <w:jc w:val="both"/>
      </w:pPr>
      <w:r>
        <w:rPr>
          <w:rFonts w:ascii="Calibri" w:hAnsi="Calibri" w:cs="Arial"/>
          <w:rtl/>
          <w:sz w:val="24"/>
          <w:szCs w:val="24"/>
        </w:rPr>
        <w:t xml:space="preserve">عدد ملاحظات التدقيق الناتجة عن متطلبات لم يتم تحديدها (الهدف: صفر).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نموذج تحليل السياق (SWOT / PESTLE)</w:t>
      </w:r>
    </w:p>
    <w:p>
      <w:pPr>
        <w:pStyle w:val="ListeParagraf"/>
        <w:numPr>
          <w:ilvl w:val="0"/>
          <w:numId w:val="1"/>
        </w:numPr>
        <w:bidi/>
        <w:spacing w:after="60"/>
        <w:jc w:val="both"/>
      </w:pPr>
      <w:r>
        <w:rPr>
          <w:rFonts w:ascii="Calibri" w:hAnsi="Calibri" w:cs="Arial"/>
          <w:rtl/>
          <w:sz w:val="24"/>
          <w:szCs w:val="24"/>
        </w:rPr>
        <w:t xml:space="preserve">سجل الأطراف المعنية</w:t>
      </w:r>
    </w:p>
    <w:p>
      <w:pPr>
        <w:pStyle w:val="ListeParagraf"/>
        <w:numPr>
          <w:ilvl w:val="0"/>
          <w:numId w:val="1"/>
        </w:numPr>
        <w:bidi/>
        <w:spacing w:after="60"/>
        <w:jc w:val="both"/>
      </w:pPr>
      <w:r>
        <w:rPr>
          <w:rFonts w:ascii="Calibri" w:hAnsi="Calibri" w:cs="Arial"/>
          <w:rtl/>
          <w:sz w:val="24"/>
          <w:szCs w:val="24"/>
        </w:rPr>
        <w:t xml:space="preserve">بيان نطاق نظام الإدارة المتكامل</w:t>
      </w:r>
    </w:p>
    <w:p>
      <w:pPr>
        <w:pStyle w:val="ListeParagraf"/>
        <w:numPr>
          <w:ilvl w:val="0"/>
          <w:numId w:val="1"/>
        </w:numPr>
        <w:bidi/>
        <w:spacing w:after="60"/>
        <w:jc w:val="both"/>
      </w:pPr>
      <w:r>
        <w:rPr>
          <w:rFonts w:ascii="Calibri" w:hAnsi="Calibri" w:cs="Arial"/>
          <w:rtl/>
          <w:sz w:val="24"/>
          <w:szCs w:val="24"/>
        </w:rPr>
        <w:t xml:space="preserve">EMS.YS.POL.11.01. سياسة نظام الإدارة المتكامل</w:t>
      </w:r>
    </w:p>
    <w:p>
      <w:pPr>
        <w:pStyle w:val="ListeParagraf"/>
        <w:numPr>
          <w:ilvl w:val="0"/>
          <w:numId w:val="1"/>
        </w:numPr>
        <w:bidi/>
        <w:spacing w:after="60"/>
        <w:jc w:val="both"/>
      </w:pPr>
      <w:r>
        <w:rPr>
          <w:rFonts w:ascii="Calibri" w:hAnsi="Calibri" w:cs="Arial"/>
          <w:rtl/>
          <w:sz w:val="24"/>
          <w:szCs w:val="24"/>
        </w:rPr>
        <w:t xml:space="preserve">EMS.YS.PRO.11.04. إجراء المخاطر والفرص</w:t>
      </w:r>
    </w:p>
    <w:p>
      <w:pPr>
        <w:pStyle w:val="ListeParagraf"/>
        <w:numPr>
          <w:ilvl w:val="0"/>
          <w:numId w:val="1"/>
        </w:numPr>
        <w:bidi/>
        <w:spacing w:after="60"/>
        <w:jc w:val="both"/>
      </w:pPr>
      <w:r>
        <w:rPr>
          <w:rFonts w:ascii="Calibri" w:hAnsi="Calibri" w:cs="Arial"/>
          <w:rtl/>
          <w:sz w:val="24"/>
          <w:szCs w:val="24"/>
        </w:rPr>
        <w:t xml:space="preserve">EMS.YS.PRO.11.05. إجراء مراجعة الإدارة</w:t>
      </w:r>
    </w:p>
    <w:p>
      <w:pPr>
        <w:pStyle w:val="ListeParagraf"/>
        <w:numPr>
          <w:ilvl w:val="0"/>
          <w:numId w:val="1"/>
        </w:numPr>
        <w:bidi/>
        <w:spacing w:after="60"/>
        <w:jc w:val="both"/>
      </w:pPr>
      <w:r>
        <w:rPr>
          <w:rFonts w:ascii="Calibri" w:hAnsi="Calibri" w:cs="Arial"/>
          <w:rtl/>
          <w:sz w:val="24"/>
          <w:szCs w:val="24"/>
        </w:rPr>
        <w:t xml:space="preserve">EMS.HK.PRO.17.01. إجراء تحديد المتطلبات القانونية وتقييمها</w:t>
      </w:r>
    </w:p>
    <w:p>
      <w:pPr>
        <w:pStyle w:val="ListeParagraf"/>
        <w:numPr>
          <w:ilvl w:val="0"/>
          <w:numId w:val="1"/>
        </w:numPr>
        <w:bidi/>
        <w:spacing w:after="60"/>
        <w:jc w:val="both"/>
      </w:pPr>
      <w:r>
        <w:rPr>
          <w:rFonts w:ascii="Calibri" w:hAnsi="Calibri" w:cs="Arial"/>
          <w:rtl/>
          <w:sz w:val="24"/>
          <w:szCs w:val="24"/>
        </w:rPr>
        <w:t xml:space="preserve">EMS.MG.PRO.13.01. إجراء إدارة مدونة سلوك العملاء ومتطلباتهم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ممثل نظام الإدارة. وتُقيّم ملاحظات مديري الأقسام والموظفين والعملاء ونتائج التدقيق، ويُعدل الإجراء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CONTEXT OF THE ORGANIZATION AND INTERESTED PARTIES PROCEDURE</w:t>
          </w:r>
        </w:p>
        <w:p>
          <w:pPr>
            <w:pStyle w:val="GvdeMetni2"/>
            <w:bidi/>
            <w:spacing w:line="276" w:lineRule="auto"/>
            <w:jc w:val="center"/>
          </w:pPr>
          <w:r>
            <w:rPr>
              <w:rFonts w:asciiTheme="minorHAnsi" w:hAnsiTheme="minorHAnsi" w:cs="Arial"/>
              <w:b/>
              <w:bCs/>
              <w:color w:val="000000" w:themeColor="text1"/>
              <w:sz w:val="22"/>
              <w:szCs w:val="22"/>
              <w:rtl/>
            </w:rPr>
            <w:t>إجراء سياق المنظمة والأطراف المعنية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EMS.YS.PRO.11.03.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EMS.YS.PRO.11.03. CONTEXT OF THE ORGANIZATION AND INTERESTED PARTIES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