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GOTS- or OCS-certified organic materials are received, verified, identified, segregated, processed and traced from receipt to shipment at Eroglu Knitting (EMS), so that the organic content of every product can be proved and no mixing or contamination occurs.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organic yarns, fabrics and accessories claimed under GOTS or OCS, from purchasing and receipt through knitting, dyeing and finishing, cutting, sewing, packing and subcontracting to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Verifies supplier certificates and input TCs, keeps the traceability and volume reconciliation records and requests outgoing TCs.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Receives, labels and stores OCS material in the designated area and records all movements.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 and Department Supervisors:</w:t>
      </w:r>
      <w:r>
        <w:rPr>
          <w:rFonts w:ascii="Calibri" w:hAnsi="Calibri" w:cs="Arial"/>
          <w:sz w:val="24"/>
          <w:szCs w:val="24"/>
        </w:rPr>
        <w:t xml:space="preserve"> Plan OCS orders separately, keep OCS material identified during processing and record quantities, waste and batch numbers.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segregation and labelling during in-line inspections and before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Input TC:</w:t>
      </w:r>
      <w:r>
        <w:rPr>
          <w:rFonts w:ascii="Calibri" w:hAnsi="Calibri" w:cs="Arial"/>
          <w:sz w:val="24"/>
          <w:szCs w:val="24"/>
        </w:rPr>
        <w:t xml:space="preserve"> The Transaction Certificate received from the supplier for the organic material delivered to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Volume Reconciliation:</w:t>
      </w:r>
      <w:r>
        <w:rPr>
          <w:rFonts w:ascii="Calibri" w:hAnsi="Calibri" w:cs="Arial"/>
          <w:sz w:val="24"/>
          <w:szCs w:val="24"/>
        </w:rPr>
        <w:t xml:space="preserve"> The comparison of the quantity of certified input with the quantity of certified output and process losses for an order or a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Lot:</w:t>
      </w:r>
      <w:r>
        <w:rPr>
          <w:rFonts w:ascii="Calibri" w:hAnsi="Calibri" w:cs="Arial"/>
          <w:sz w:val="24"/>
          <w:szCs w:val="24"/>
        </w:rPr>
        <w:t xml:space="preserve"> A defined quantity of organic material with its own identification number, linked to its input TC.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The person responsible for the organic system. He or she also acts as GOTS Coordinator when GOTS orders are processed, and the same rules apply to GOTS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Code:</w:t>
      </w:r>
      <w:r>
        <w:rPr>
          <w:rFonts w:ascii="Calibri" w:hAnsi="Calibri" w:cs="Arial"/>
          <w:sz w:val="24"/>
          <w:szCs w:val="24"/>
        </w:rPr>
        <w:t xml:space="preserve"> Green = organic product area, blue = conventional area, yellow = holding or quarantine area, red = non-conforming or blocked area (see EMS.OR.PRO.21.02).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PURCHASING AND SUPPLIER VERIFICATION</w:t>
      </w:r>
    </w:p>
    <w:p>
      <w:pPr>
        <w:pStyle w:val="ListeParagraf"/>
        <w:spacing w:after="80"/>
        <w:ind w:left="709" w:right="0"/>
        <w:jc w:val="both"/>
      </w:pPr>
      <w:r>
        <w:rPr>
          <w:rFonts w:ascii="Calibri" w:hAnsi="Calibri" w:cs="Arial"/>
          <w:sz w:val="24"/>
          <w:szCs w:val="24"/>
        </w:rPr>
        <w:t xml:space="preserve">1.1. Organic material is ordered only from suppliers whose valid GOTS or OCS Scope Certificate covers the product; the OCS Coordinator checks the certificate in the public certificate database before the order is placed.</w:t>
      </w:r>
    </w:p>
    <w:p>
      <w:pPr>
        <w:pStyle w:val="ListeParagraf"/>
        <w:spacing w:after="80"/>
        <w:ind w:left="709" w:right="0"/>
        <w:jc w:val="both"/>
      </w:pPr>
      <w:r>
        <w:rPr>
          <w:rFonts w:ascii="Calibri" w:hAnsi="Calibri" w:cs="Arial"/>
          <w:sz w:val="24"/>
          <w:szCs w:val="24"/>
        </w:rPr>
        <w:t xml:space="preserve">1.2. The purchase order clearly states “OCS 100” or “OCS Blended”, the organic percentage and the requirement to provide a TC.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RECEIPT AND VERIFICATION</w:t>
      </w:r>
    </w:p>
    <w:p>
      <w:pPr>
        <w:pStyle w:val="ListeParagraf"/>
        <w:spacing w:after="80"/>
        <w:ind w:left="709" w:right="0"/>
        <w:jc w:val="both"/>
      </w:pPr>
      <w:r>
        <w:rPr>
          <w:rFonts w:ascii="Calibri" w:hAnsi="Calibri" w:cs="Arial"/>
          <w:sz w:val="24"/>
          <w:szCs w:val="24"/>
        </w:rPr>
        <w:t xml:space="preserve">2.1. At receipt, the warehouse checks the delivery note, invoice and packing list, and that the packages are labelled as organic.</w:t>
      </w:r>
    </w:p>
    <w:p>
      <w:pPr>
        <w:pStyle w:val="ListeParagraf"/>
        <w:spacing w:after="80"/>
        <w:ind w:left="709" w:right="0"/>
        <w:jc w:val="both"/>
      </w:pPr>
      <w:r>
        <w:rPr>
          <w:rFonts w:ascii="Calibri" w:hAnsi="Calibri" w:cs="Arial"/>
          <w:sz w:val="24"/>
          <w:szCs w:val="24"/>
        </w:rPr>
        <w:t xml:space="preserve">2.2. The OCS Coordinator verifies that the quantities, product description, seller and buyer on the input TC (or the shipment data sent for the TC) match the delivery.</w:t>
      </w:r>
    </w:p>
    <w:p>
      <w:pPr>
        <w:pStyle w:val="ListeParagraf"/>
        <w:spacing w:after="80"/>
        <w:ind w:left="709" w:right="0"/>
        <w:jc w:val="both"/>
      </w:pPr>
      <w:r>
        <w:rPr>
          <w:rFonts w:ascii="Calibri" w:hAnsi="Calibri" w:cs="Arial"/>
          <w:sz w:val="24"/>
          <w:szCs w:val="24"/>
        </w:rPr>
        <w:t xml:space="preserve">2.3. Material whose documents do not match is kept on hold in the quarantine area and is not used as organic until the issue is resolved.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IDENTIFICATION AND SEGREGATION</w:t>
      </w:r>
    </w:p>
    <w:p>
      <w:pPr>
        <w:pStyle w:val="ListeParagraf"/>
        <w:spacing w:after="80"/>
        <w:ind w:left="709" w:right="0"/>
        <w:jc w:val="both"/>
      </w:pPr>
      <w:r>
        <w:rPr>
          <w:rFonts w:ascii="Calibri" w:hAnsi="Calibri" w:cs="Arial"/>
          <w:sz w:val="24"/>
          <w:szCs w:val="24"/>
        </w:rPr>
        <w:t xml:space="preserve">3.1. Each OCS lot is given a lot number and a green “OCS – Organic” label showing the lot number, supplier, quantity and TC number.</w:t>
      </w:r>
    </w:p>
    <w:p>
      <w:pPr>
        <w:pStyle w:val="ListeParagraf"/>
        <w:spacing w:after="80"/>
        <w:ind w:left="709" w:right="0"/>
        <w:jc w:val="both"/>
      </w:pPr>
      <w:r>
        <w:rPr>
          <w:rFonts w:ascii="Calibri" w:hAnsi="Calibri" w:cs="Arial"/>
          <w:sz w:val="24"/>
          <w:szCs w:val="24"/>
        </w:rPr>
        <w:t xml:space="preserve">3.2. OCS material is stored in a separate, clearly marked area or rack; it is never stored on the same pallet or in the same bin as conventional material.</w:t>
      </w:r>
    </w:p>
    <w:p>
      <w:pPr>
        <w:pStyle w:val="ListeParagraf"/>
        <w:spacing w:after="80"/>
        <w:ind w:left="709" w:right="0"/>
        <w:jc w:val="both"/>
      </w:pPr>
      <w:r>
        <w:rPr>
          <w:rFonts w:ascii="Calibri" w:hAnsi="Calibri" w:cs="Arial"/>
          <w:sz w:val="24"/>
          <w:szCs w:val="24"/>
        </w:rPr>
        <w:t xml:space="preserve">3.3. Before an OCS order starts, machines, cutting tables and sewing lines are cleaned, and line clearance is carried out and recorded.</w:t>
      </w:r>
    </w:p>
    <w:p>
      <w:pPr>
        <w:pStyle w:val="ListeParagraf"/>
        <w:spacing w:after="80"/>
        <w:ind w:left="709" w:right="0"/>
        <w:jc w:val="both"/>
      </w:pPr>
      <w:r>
        <w:rPr>
          <w:rFonts w:ascii="Calibri" w:hAnsi="Calibri" w:cs="Arial"/>
          <w:sz w:val="24"/>
          <w:szCs w:val="24"/>
        </w:rPr>
        <w:t xml:space="preserve">3.4. Work in progress, cut parts and finished goods carry OCS identification (labels, coloured bundle tickets or tags) at every stage.</w:t>
      </w:r>
    </w:p>
    <w:p>
      <w:pPr>
        <w:pStyle w:val="ListeParagraf"/>
        <w:spacing w:after="80"/>
        <w:ind w:left="709" w:right="0"/>
        <w:jc w:val="both"/>
      </w:pPr>
      <w:r>
        <w:rPr>
          <w:rFonts w:ascii="Calibri" w:hAnsi="Calibri" w:cs="Arial"/>
          <w:sz w:val="24"/>
          <w:szCs w:val="24"/>
        </w:rPr>
        <w:t xml:space="preserve">3.5. Where possible, OCS orders are processed in separate batches or at the start of the shift; mixed loads with conventional material are not allowed.</w:t>
      </w:r>
    </w:p>
    <w:p>
      <w:pPr>
        <w:pStyle w:val="ListeParagraf"/>
        <w:spacing w:after="80"/>
        <w:ind w:left="709" w:right="0"/>
        <w:jc w:val="both"/>
      </w:pPr>
      <w:r>
        <w:rPr>
          <w:rFonts w:ascii="Calibri" w:hAnsi="Calibri" w:cs="Arial"/>
          <w:sz w:val="24"/>
          <w:szCs w:val="24"/>
        </w:rPr>
        <w:t xml:space="preserve">3.6. The organic production areas, their colour code, signs and access rules are defined in EMS.OR.PRO.21.02; the cleaning method for changeover and line clearance is given in EMS.OR.TL.21.02 and recorded on the Changeover and Line Clearance Record (EMS.OR.FRM.21.03).</w:t>
      </w:r>
    </w:p>
    <w:p>
      <w:pPr>
        <w:pStyle w:val="ListeParagraf"/>
        <w:spacing w:after="80"/>
        <w:ind w:left="709" w:right="0"/>
        <w:jc w:val="both"/>
      </w:pPr>
      <w:r>
        <w:rPr>
          <w:rFonts w:ascii="Calibri" w:hAnsi="Calibri" w:cs="Arial"/>
          <w:sz w:val="24"/>
          <w:szCs w:val="24"/>
        </w:rPr>
        <w:t xml:space="preserve">3.7. Material that is unlabelled, doubtful or awaiting a decision is moved to a yellow holding area; non-conforming material is moved to a red blocked area and is never used as organic.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TRACEABILITY AND VOLUME RECONCILIATION</w:t>
      </w:r>
    </w:p>
    <w:p>
      <w:pPr>
        <w:pStyle w:val="ListeParagraf"/>
        <w:spacing w:after="80"/>
        <w:ind w:left="709" w:right="0"/>
        <w:jc w:val="both"/>
      </w:pPr>
      <w:r>
        <w:rPr>
          <w:rFonts w:ascii="Calibri" w:hAnsi="Calibri" w:cs="Arial"/>
          <w:sz w:val="24"/>
          <w:szCs w:val="24"/>
        </w:rPr>
        <w:t xml:space="preserve">4.1. For every OCS order, production records link the input lot number and TC to the knitting, dyeing batch, cutting, sewing and packing records.</w:t>
      </w:r>
    </w:p>
    <w:p>
      <w:pPr>
        <w:pStyle w:val="ListeParagraf"/>
        <w:spacing w:after="80"/>
        <w:ind w:left="709" w:right="0"/>
        <w:jc w:val="both"/>
      </w:pPr>
      <w:r>
        <w:rPr>
          <w:rFonts w:ascii="Calibri" w:hAnsi="Calibri" w:cs="Arial"/>
          <w:sz w:val="24"/>
          <w:szCs w:val="24"/>
        </w:rPr>
        <w:t xml:space="preserve">4.2. Input, output, waste and reject quantities are recorded at each stage, using conversion factors approved by the OCS Coordinator.</w:t>
      </w:r>
    </w:p>
    <w:p>
      <w:pPr>
        <w:pStyle w:val="ListeParagraf"/>
        <w:spacing w:after="80"/>
        <w:ind w:left="709" w:right="0"/>
        <w:jc w:val="both"/>
      </w:pPr>
      <w:r>
        <w:rPr>
          <w:rFonts w:ascii="Calibri" w:hAnsi="Calibri" w:cs="Arial"/>
          <w:sz w:val="24"/>
          <w:szCs w:val="24"/>
        </w:rPr>
        <w:t xml:space="preserve">4.3. Volume reconciliation is made for each order and summarised every quarter; output claimed as organic can never exceed the certified input minus process losses.</w:t>
      </w:r>
    </w:p>
    <w:p>
      <w:pPr>
        <w:pStyle w:val="ListeParagraf"/>
        <w:spacing w:after="80"/>
        <w:ind w:left="709" w:right="0"/>
        <w:jc w:val="both"/>
      </w:pPr>
      <w:r>
        <w:rPr>
          <w:rFonts w:ascii="Calibri" w:hAnsi="Calibri" w:cs="Arial"/>
          <w:sz w:val="24"/>
          <w:szCs w:val="24"/>
        </w:rPr>
        <w:t xml:space="preserve">4.4. Organic waste and offcuts are kept separate and recorded.</w:t>
      </w:r>
    </w:p>
    <w:p>
      <w:pPr>
        <w:pStyle w:val="ListeParagraf"/>
        <w:spacing w:after="80"/>
        <w:ind w:left="709" w:right="0"/>
        <w:jc w:val="both"/>
      </w:pPr>
      <w:r>
        <w:rPr>
          <w:rFonts w:ascii="Calibri" w:hAnsi="Calibri" w:cs="Arial"/>
          <w:sz w:val="24"/>
          <w:szCs w:val="24"/>
        </w:rPr>
        <w:t xml:space="preserve">4.5. Volume reconciliation is recorded on the Organic Mass Balance Record (EMS.OR.FRM.21.04). Each lot is entered in the Organic Lot Traceability Register (EMS.OR.FRM.21.02) when it is issued to production.</w:t>
      </w:r>
    </w:p>
    <w:p>
      <w:pPr>
        <w:pStyle w:val="ListeParagraf"/>
        <w:spacing w:after="80"/>
        <w:ind w:left="709" w:right="0"/>
        <w:jc w:val="both"/>
      </w:pPr>
      <w:r>
        <w:rPr>
          <w:rFonts w:ascii="Calibri" w:hAnsi="Calibri" w:cs="Arial"/>
          <w:sz w:val="24"/>
          <w:szCs w:val="24"/>
        </w:rPr>
        <w:t xml:space="preserve">4.6. Any unexplained difference between certified input and output is investigated; the internal alert limit is 2% of the input quantity (company policy), and the difference is reported to the certification body when it cannot be explained.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SUBCONTRACTING</w:t>
      </w:r>
    </w:p>
    <w:p>
      <w:pPr>
        <w:pStyle w:val="ListeParagraf"/>
        <w:spacing w:after="80"/>
        <w:ind w:left="709" w:right="0"/>
        <w:jc w:val="both"/>
      </w:pPr>
      <w:r>
        <w:rPr>
          <w:rFonts w:ascii="Calibri" w:hAnsi="Calibri" w:cs="Arial"/>
          <w:sz w:val="24"/>
          <w:szCs w:val="24"/>
        </w:rPr>
        <w:t xml:space="preserve">5.1. OCS material is sent only to subcontractors that hold a valid OCS Scope Certificate or are included in the EMS certificate scope.</w:t>
      </w:r>
    </w:p>
    <w:p>
      <w:pPr>
        <w:pStyle w:val="ListeParagraf"/>
        <w:spacing w:after="80"/>
        <w:ind w:left="709" w:right="0"/>
        <w:jc w:val="both"/>
      </w:pPr>
      <w:r>
        <w:rPr>
          <w:rFonts w:ascii="Calibri" w:hAnsi="Calibri" w:cs="Arial"/>
          <w:sz w:val="24"/>
          <w:szCs w:val="24"/>
        </w:rPr>
        <w:t xml:space="preserve">5.2. Dispatch and return quantities are recorded, and the subcontractor keeps the material segregated and identified.</w:t>
      </w:r>
    </w:p>
    <w:p>
      <w:pPr>
        <w:pStyle w:val="ListeParagraf"/>
        <w:spacing w:after="80"/>
        <w:ind w:left="709" w:right="0"/>
        <w:jc w:val="both"/>
      </w:pPr>
      <w:r>
        <w:rPr>
          <w:rFonts w:ascii="Calibri" w:hAnsi="Calibri" w:cs="Arial"/>
          <w:sz w:val="24"/>
          <w:szCs w:val="24"/>
        </w:rPr>
        <w:t xml:space="preserve">5.3. For GOTS orders, subcontractors that carry out wet processing, printing or sewing must hold their own valid GOTS Scope Certificate or be listed in the EMS scope; EMS and the certification body may visit them, announced or unannounced.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SHIPMENT, LABELLING AND TC REQUEST</w:t>
      </w:r>
    </w:p>
    <w:p>
      <w:pPr>
        <w:pStyle w:val="ListeParagraf"/>
        <w:spacing w:after="80"/>
        <w:ind w:left="709" w:right="0"/>
        <w:jc w:val="both"/>
      </w:pPr>
      <w:r>
        <w:rPr>
          <w:rFonts w:ascii="Calibri" w:hAnsi="Calibri" w:cs="Arial"/>
          <w:sz w:val="24"/>
          <w:szCs w:val="24"/>
        </w:rPr>
        <w:t xml:space="preserve">6.1. Finished products carry OCS claims only in line with the customer-approved artwork and the OCS labelling rules.</w:t>
      </w:r>
    </w:p>
    <w:p>
      <w:pPr>
        <w:pStyle w:val="ListeParagraf"/>
        <w:spacing w:after="80"/>
        <w:ind w:left="709" w:right="0"/>
        <w:jc w:val="both"/>
      </w:pPr>
      <w:r>
        <w:rPr>
          <w:rFonts w:ascii="Calibri" w:hAnsi="Calibri" w:cs="Arial"/>
          <w:sz w:val="24"/>
          <w:szCs w:val="24"/>
        </w:rPr>
        <w:t xml:space="preserve">6.2. After shipment, the OCS Coordinator sends the shipment data to the certification body and requests the outgoing TC within the required time.</w:t>
      </w:r>
    </w:p>
    <w:p>
      <w:pPr>
        <w:pStyle w:val="ListeParagraf"/>
        <w:spacing w:after="80"/>
        <w:ind w:left="709" w:right="0"/>
        <w:jc w:val="both"/>
      </w:pPr>
      <w:r>
        <w:rPr>
          <w:rFonts w:ascii="Calibri" w:hAnsi="Calibri" w:cs="Arial"/>
          <w:sz w:val="24"/>
          <w:szCs w:val="24"/>
        </w:rPr>
        <w:t xml:space="preserve">6.3. TCs, invoices, packing lists and bills of lading are filed together for each shipment.</w:t>
      </w:r>
    </w:p>
    <w:p>
      <w:pPr>
        <w:pStyle w:val="ListeParagraf"/>
        <w:spacing w:after="80"/>
        <w:ind w:left="709" w:right="0"/>
        <w:jc w:val="both"/>
      </w:pPr>
      <w:r>
        <w:rPr>
          <w:rFonts w:ascii="Calibri" w:hAnsi="Calibri" w:cs="Arial"/>
          <w:sz w:val="24"/>
          <w:szCs w:val="24"/>
        </w:rPr>
        <w:t xml:space="preserve">6.4. Before dispatch, the Shipment and TC Request Form (EMS.OR.FRM.21.07) is completed: labels, cartons and documents are checked and the certificate number and organic claim are shown on the sales documents.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GOTS ENVIRONMENTAL AND SOCIAL REQUIREMENTS</w:t>
      </w:r>
    </w:p>
    <w:p>
      <w:pPr>
        <w:pStyle w:val="ListeParagraf"/>
        <w:spacing w:after="80"/>
        <w:ind w:left="709" w:right="0"/>
        <w:jc w:val="both"/>
      </w:pPr>
      <w:r>
        <w:rPr>
          <w:rFonts w:ascii="Calibri" w:hAnsi="Calibri" w:cs="Arial"/>
          <w:sz w:val="24"/>
          <w:szCs w:val="24"/>
        </w:rPr>
        <w:t xml:space="preserve">7.1. Chemical inputs (dyes, auxiliaries, finishing and cleaning agents) used on GOTS orders are approved by the OCS Coordinator against the GOTS criteria and the ZDHC MRSL before purchase, and are listed in the chemical inventory (EMS.KM.PRO.20.01).</w:t>
      </w:r>
    </w:p>
    <w:p>
      <w:pPr>
        <w:pStyle w:val="ListeParagraf"/>
        <w:spacing w:after="80"/>
        <w:ind w:left="709" w:right="0"/>
        <w:jc w:val="both"/>
      </w:pPr>
      <w:r>
        <w:rPr>
          <w:rFonts w:ascii="Calibri" w:hAnsi="Calibri" w:cs="Arial"/>
          <w:sz w:val="24"/>
          <w:szCs w:val="24"/>
        </w:rPr>
        <w:t xml:space="preserve">7.2. Approved chemicals are stored apart from other chemicals in the Chemical Storage Area (area 13), labelled, with a current safety data sheet, and issued to production with a record (EMS.KM.PRO.20.05, EMS.KM.TL.20.02).</w:t>
      </w:r>
    </w:p>
    <w:p>
      <w:pPr>
        <w:pStyle w:val="ListeParagraf"/>
        <w:spacing w:after="80"/>
        <w:ind w:left="709" w:right="0"/>
        <w:jc w:val="both"/>
      </w:pPr>
      <w:r>
        <w:rPr>
          <w:rFonts w:ascii="Calibri" w:hAnsi="Calibri" w:cs="Arial"/>
          <w:sz w:val="24"/>
          <w:szCs w:val="24"/>
        </w:rPr>
        <w:t xml:space="preserve">7.3. Wastewater from wet processing is treated in the effluent treatment plant and monitored, and the results are recorded (EMS.ÇV.PRO.19.02).</w:t>
      </w:r>
    </w:p>
    <w:p>
      <w:pPr>
        <w:pStyle w:val="ListeParagraf"/>
        <w:spacing w:after="80"/>
        <w:ind w:left="709" w:right="0"/>
        <w:jc w:val="both"/>
      </w:pPr>
      <w:r>
        <w:rPr>
          <w:rFonts w:ascii="Calibri" w:hAnsi="Calibri" w:cs="Arial"/>
          <w:sz w:val="24"/>
          <w:szCs w:val="24"/>
        </w:rPr>
        <w:t xml:space="preserve">7.4. Waste is segregated at source, organic and conventional offcuts are not mixed, and hazardous waste is kept in the temporary storage area until collection by a licensed contractor (EMS.ÇV.TL.19.01, EMS.ÇV.PRO.19.05).</w:t>
      </w:r>
    </w:p>
    <w:p>
      <w:pPr>
        <w:pStyle w:val="ListeParagraf"/>
        <w:spacing w:after="80"/>
        <w:ind w:left="709" w:right="0"/>
        <w:jc w:val="both"/>
      </w:pPr>
      <w:r>
        <w:rPr>
          <w:rFonts w:ascii="Calibri" w:hAnsi="Calibri" w:cs="Arial"/>
          <w:sz w:val="24"/>
          <w:szCs w:val="24"/>
        </w:rPr>
        <w:t xml:space="preserve">7.5. The social criteria of GOTS, based on the ILO core conventions, are applied through the EMS human resources and social compliance procedures and are checked in the annual internal audit.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MONITORING AND PERFORMANCE</w:t>
      </w:r>
    </w:p>
    <w:p>
      <w:pPr>
        <w:pStyle w:val="ListeParagraf"/>
        <w:spacing w:after="80"/>
        <w:ind w:left="709" w:right="0"/>
        <w:jc w:val="both"/>
      </w:pPr>
      <w:r>
        <w:rPr>
          <w:rFonts w:ascii="Calibri" w:hAnsi="Calibri" w:cs="Arial"/>
          <w:sz w:val="24"/>
          <w:szCs w:val="24"/>
        </w:rPr>
        <w:t xml:space="preserve">8.1. The OCS Coordinator monitors the following indicators and reports them to management:</w:t>
      </w:r>
    </w:p>
    <w:p>
      <w:pPr>
        <w:pStyle w:val="ListeParagraf"/>
        <w:numPr>
          <w:ilvl w:val="0"/>
          <w:numId w:val="1"/>
        </w:numPr>
        <w:spacing w:after="60"/>
        <w:jc w:val="both"/>
      </w:pPr>
      <w:r>
        <w:rPr>
          <w:rFonts w:ascii="Calibri" w:hAnsi="Calibri" w:cs="Arial"/>
          <w:sz w:val="24"/>
          <w:szCs w:val="24"/>
        </w:rPr>
        <w:t xml:space="preserve">Volume reconciliation difference per order (target: no unexplained difference),</w:t>
      </w:r>
    </w:p>
    <w:p>
      <w:pPr>
        <w:pStyle w:val="ListeParagraf"/>
        <w:numPr>
          <w:ilvl w:val="0"/>
          <w:numId w:val="1"/>
        </w:numPr>
        <w:spacing w:after="60"/>
        <w:jc w:val="both"/>
      </w:pPr>
      <w:r>
        <w:rPr>
          <w:rFonts w:ascii="Calibri" w:hAnsi="Calibri" w:cs="Arial"/>
          <w:sz w:val="24"/>
          <w:szCs w:val="24"/>
        </w:rPr>
        <w:t xml:space="preserve">Number of segregation or labelling nonconformities found in internal checks and audits,</w:t>
      </w:r>
    </w:p>
    <w:p>
      <w:pPr>
        <w:pStyle w:val="ListeParagraf"/>
        <w:numPr>
          <w:ilvl w:val="0"/>
          <w:numId w:val="1"/>
        </w:numPr>
        <w:spacing w:after="60"/>
        <w:jc w:val="both"/>
      </w:pPr>
      <w:r>
        <w:rPr>
          <w:rFonts w:ascii="Calibri" w:hAnsi="Calibri" w:cs="Arial"/>
          <w:sz w:val="24"/>
          <w:szCs w:val="24"/>
        </w:rPr>
        <w:t xml:space="preserve">Percentage of input TCs received and outgoing TCs requested on time.</w:t>
      </w:r>
    </w:p>
    <w:p>
      <w:pPr>
        <w:pStyle w:val="ListeParagraf"/>
        <w:spacing w:after="80"/>
        <w:ind w:left="709" w:right="0"/>
        <w:jc w:val="both"/>
      </w:pPr>
      <w:r>
        <w:rPr>
          <w:rFonts w:ascii="Calibri" w:hAnsi="Calibri" w:cs="Arial"/>
          <w:sz w:val="24"/>
          <w:szCs w:val="24"/>
        </w:rPr>
        <w:t xml:space="preserve">8.2. An internal OCS / GOTS audit, including a traceability test on at least one order, is carried out every year before the external audit.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Supplier Scope Certificates and Input Transaction Certificates</w:t>
      </w:r>
    </w:p>
    <w:p>
      <w:pPr>
        <w:pStyle w:val="ListeParagraf"/>
        <w:numPr>
          <w:ilvl w:val="0"/>
          <w:numId w:val="1"/>
        </w:numPr>
        <w:spacing w:after="60"/>
        <w:jc w:val="both"/>
      </w:pPr>
      <w:r>
        <w:rPr>
          <w:rFonts w:ascii="Calibri" w:hAnsi="Calibri" w:cs="Arial"/>
          <w:sz w:val="24"/>
          <w:szCs w:val="24"/>
        </w:rPr>
        <w:t xml:space="preserve">OCS Lot Register and Material Movement Records</w:t>
      </w:r>
    </w:p>
    <w:p>
      <w:pPr>
        <w:pStyle w:val="ListeParagraf"/>
        <w:numPr>
          <w:ilvl w:val="0"/>
          <w:numId w:val="1"/>
        </w:numPr>
        <w:spacing w:after="60"/>
        <w:jc w:val="both"/>
      </w:pPr>
      <w:r>
        <w:rPr>
          <w:rFonts w:ascii="Calibri" w:hAnsi="Calibri" w:cs="Arial"/>
          <w:sz w:val="24"/>
          <w:szCs w:val="24"/>
        </w:rPr>
        <w:t xml:space="preserve">Line Clearance Records</w:t>
      </w:r>
    </w:p>
    <w:p>
      <w:pPr>
        <w:pStyle w:val="ListeParagraf"/>
        <w:numPr>
          <w:ilvl w:val="0"/>
          <w:numId w:val="1"/>
        </w:numPr>
        <w:spacing w:after="60"/>
        <w:jc w:val="both"/>
      </w:pPr>
      <w:r>
        <w:rPr>
          <w:rFonts w:ascii="Calibri" w:hAnsi="Calibri" w:cs="Arial"/>
          <w:sz w:val="24"/>
          <w:szCs w:val="24"/>
        </w:rPr>
        <w:t xml:space="preserve">Volume Reconciliation Records</w:t>
      </w:r>
    </w:p>
    <w:p>
      <w:pPr>
        <w:pStyle w:val="ListeParagraf"/>
        <w:numPr>
          <w:ilvl w:val="0"/>
          <w:numId w:val="1"/>
        </w:numPr>
        <w:spacing w:after="60"/>
        <w:jc w:val="both"/>
      </w:pPr>
      <w:r>
        <w:rPr>
          <w:rFonts w:ascii="Calibri" w:hAnsi="Calibri" w:cs="Arial"/>
          <w:sz w:val="24"/>
          <w:szCs w:val="24"/>
        </w:rPr>
        <w:t xml:space="preserve">Outgoing Transaction Certificates and Shipment Documents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EMS.OR.PRO.21.03. Organic Area Inspection, Training and Competence Procedure</w:t>
      </w:r>
    </w:p>
    <w:p>
      <w:pPr>
        <w:pStyle w:val="ListeParagraf"/>
        <w:numPr>
          <w:ilvl w:val="0"/>
          <w:numId w:val="1"/>
        </w:numPr>
        <w:spacing w:after="60"/>
        <w:jc w:val="both"/>
      </w:pPr>
      <w:r>
        <w:rPr>
          <w:rFonts w:ascii="Calibri" w:hAnsi="Calibri" w:cs="Arial"/>
          <w:sz w:val="24"/>
          <w:szCs w:val="24"/>
        </w:rPr>
        <w:t xml:space="preserve">Forms EMS.OR.FRM.21.01 to EMS.OR.FRM.21.08 (receiving and TC verification, lot register, changeover record, mass balance, label approval, daily area checklist, shipment and TC request, training record)</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EMS.KM.PRO.20.05. Chemical Storage and Handling Procedure</w:t>
      </w:r>
    </w:p>
    <w:p>
      <w:pPr>
        <w:pStyle w:val="ListeParagraf"/>
        <w:numPr>
          <w:ilvl w:val="0"/>
          <w:numId w:val="1"/>
        </w:numPr>
        <w:spacing w:after="60"/>
        <w:jc w:val="both"/>
      </w:pPr>
      <w:r>
        <w:rPr>
          <w:rFonts w:ascii="Calibri" w:hAnsi="Calibri" w:cs="Arial"/>
          <w:sz w:val="24"/>
          <w:szCs w:val="24"/>
        </w:rPr>
        <w:t xml:space="preserve">EMS.ÇV.PRO.19.02. Wastewater Management and Monitoring Procedure</w:t>
      </w:r>
    </w:p>
    <w:p>
      <w:pPr>
        <w:pStyle w:val="ListeParagraf"/>
        <w:numPr>
          <w:ilvl w:val="0"/>
          <w:numId w:val="1"/>
        </w:numPr>
        <w:spacing w:after="60"/>
        <w:jc w:val="both"/>
      </w:pPr>
      <w:r>
        <w:rPr>
          <w:rFonts w:ascii="Calibri" w:hAnsi="Calibri" w:cs="Arial"/>
          <w:sz w:val="24"/>
          <w:szCs w:val="24"/>
        </w:rPr>
        <w:t xml:space="preserve">EMS.ÇV.TL.19.01. Waste Segregation Instruction</w:t>
      </w:r>
    </w:p>
    <w:p>
      <w:pPr>
        <w:pStyle w:val="ListeParagraf"/>
        <w:numPr>
          <w:ilvl w:val="0"/>
          <w:numId w:val="1"/>
        </w:numPr>
        <w:spacing w:after="60"/>
        <w:jc w:val="both"/>
      </w:pPr>
      <w:r>
        <w:rPr>
          <w:rFonts w:ascii="Calibri" w:hAnsi="Calibri" w:cs="Arial"/>
          <w:sz w:val="24"/>
          <w:szCs w:val="24"/>
        </w:rPr>
        <w:t xml:space="preserve">EMS.GR.PRO.14.02. Transaction Certificate and Labelling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This procedure is reviewed every year by the OCS Coordinator, or earlier when the OCS standard, customer requirements or the certificate scope change. Audit findings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المواد العضوية المعتمدة وفق معيار GOTS أو OCS والتحقق منها وتمييزها وفصلها ومعالجتها وتتبعها من الاستلام حتى الشحن في شركة إيروغلو للتريكو (EMS)، بحيث يمكن إثبات المحتوى العضوي لكل منتج ومنع أي خلط أو تلوث.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الخيوط والأقمشة والإكسسوارات العضوية التي يُدّعى أنها وفق معيار GOTS أو OCS، بدءًا من الشراء والاستلام مرورًا بالتريكو والصباغة والتجهيز والقص والخياطة والتعبئة والتصنيع لدى الغير وحتى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يتحقق من شهادات الموردين وشهادات المعاملات الواردة، ويحتفظ بسجلات التتبع وموازنة الكميات، ويطلب شهادات المعاملات الصادرة.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المستودع:</w:t>
      </w:r>
      <w:r>
        <w:rPr>
          <w:rFonts w:ascii="Calibri" w:hAnsi="Calibri" w:cs="Arial"/>
          <w:rtl/>
          <w:sz w:val="24"/>
          <w:szCs w:val="24"/>
        </w:rPr>
        <w:t xml:space="preserve"> يستلم مواد OCS ويضع عليها الملصقات ويخزنها في المنطقة المخصصة ويسجل جميع حركاتها.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 ومشرفو الأقسام:</w:t>
      </w:r>
      <w:r>
        <w:rPr>
          <w:rFonts w:ascii="Calibri" w:hAnsi="Calibri" w:cs="Arial"/>
          <w:rtl/>
          <w:sz w:val="24"/>
          <w:szCs w:val="24"/>
        </w:rPr>
        <w:t xml:space="preserve"> يخططون طلبيات OCS بشكل منفصل، ويحافظون على تمييز مواد OCS أثناء المعالجة، ويسجلون الكميات والفاقد وأرقام 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الفصل والتوسيم أثناء الفحص على خط الإنتاج وقبل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المعاملة الواردة:</w:t>
      </w:r>
      <w:r>
        <w:rPr>
          <w:rFonts w:ascii="Calibri" w:hAnsi="Calibri" w:cs="Arial"/>
          <w:rtl/>
          <w:sz w:val="24"/>
          <w:szCs w:val="24"/>
        </w:rPr>
        <w:t xml:space="preserve"> شهادة المعاملة المستلمة من المورد للمواد العضوية الموردة إلى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موازنة الكميات:</w:t>
      </w:r>
      <w:r>
        <w:rPr>
          <w:rFonts w:ascii="Calibri" w:hAnsi="Calibri" w:cs="Arial"/>
          <w:rtl/>
          <w:sz w:val="24"/>
          <w:szCs w:val="24"/>
        </w:rPr>
        <w:t xml:space="preserve"> مقارنة كمية المدخلات المعتمدة بكمية المخرجات المعتمدة وفاقد العمليات لطلبية أو لفترة معينة.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OCS:</w:t>
      </w:r>
      <w:r>
        <w:rPr>
          <w:rFonts w:ascii="Calibri" w:hAnsi="Calibri" w:cs="Arial"/>
          <w:rtl/>
          <w:sz w:val="24"/>
          <w:szCs w:val="24"/>
        </w:rPr>
        <w:t xml:space="preserve"> كمية محددة من المواد العضوية لها رقم تعريف خاص بها ومرتبطة بشهادة المعاملة الواردة الخاصة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الشخص المسؤول عن النظام العضوي. ويعمل أيضًا كمنسق GOTS عند معالجة طلبيات GOTS، وتنطبق القواعد نفسها على دفعات GOTS.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الألوان:</w:t>
      </w:r>
      <w:r>
        <w:rPr>
          <w:rFonts w:ascii="Calibri" w:hAnsi="Calibri" w:cs="Arial"/>
          <w:rtl/>
          <w:sz w:val="24"/>
          <w:szCs w:val="24"/>
        </w:rPr>
        <w:t xml:space="preserve"> أخضر = منطقة منتج عضوي، أزرق = منطقة تقليدية، أصفر = منطقة انتظار أو حجر، أحمر = منطقة غير مطابقة أو محظورة (انظر EMS.OR.PRO.21.02).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الشراء والتحقق من الموردين</w:t>
      </w:r>
    </w:p>
    <w:p>
      <w:pPr>
        <w:pStyle w:val="ListeParagraf"/>
        <w:bidi/>
        <w:spacing w:after="80"/>
        <w:ind w:left="0" w:right="709"/>
        <w:jc w:val="both"/>
      </w:pPr>
      <w:r>
        <w:rPr>
          <w:rFonts w:ascii="Calibri" w:hAnsi="Calibri" w:cs="Arial"/>
          <w:rtl/>
          <w:sz w:val="24"/>
          <w:szCs w:val="24"/>
        </w:rPr>
        <w:t xml:space="preserve">1.1. لا تُطلب المواد العضوية إلا من موردين لديهم شهادة نطاق GOTS أو OCS سارية تغطي المنتج؛ ويتحقق منسق OCS من الشهادة في قاعدة بيانات الشهادات العامة قبل إصدار الطلب.</w:t>
      </w:r>
    </w:p>
    <w:p>
      <w:pPr>
        <w:pStyle w:val="ListeParagraf"/>
        <w:bidi/>
        <w:spacing w:after="80"/>
        <w:ind w:left="0" w:right="709"/>
        <w:jc w:val="both"/>
      </w:pPr>
      <w:r>
        <w:rPr>
          <w:rFonts w:ascii="Calibri" w:hAnsi="Calibri" w:cs="Arial"/>
          <w:rtl/>
          <w:sz w:val="24"/>
          <w:szCs w:val="24"/>
        </w:rPr>
        <w:t xml:space="preserve">1.2. ينص أمر الشراء بوضوح على «OCS 100» أو «OCS Blended» ونسبة المحتوى العضوي وضرورة تقديم شهادة معاملة.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الاستلام والتحقق</w:t>
      </w:r>
    </w:p>
    <w:p>
      <w:pPr>
        <w:pStyle w:val="ListeParagraf"/>
        <w:bidi/>
        <w:spacing w:after="80"/>
        <w:ind w:left="0" w:right="709"/>
        <w:jc w:val="both"/>
      </w:pPr>
      <w:r>
        <w:rPr>
          <w:rFonts w:ascii="Calibri" w:hAnsi="Calibri" w:cs="Arial"/>
          <w:rtl/>
          <w:sz w:val="24"/>
          <w:szCs w:val="24"/>
        </w:rPr>
        <w:t xml:space="preserve">2.1. عند الاستلام يتحقق المستودع من إذن التسليم والفاتورة وقائمة التعبئة، ومن أن العبوات موسومة كمواد عضوية.</w:t>
      </w:r>
    </w:p>
    <w:p>
      <w:pPr>
        <w:pStyle w:val="ListeParagraf"/>
        <w:bidi/>
        <w:spacing w:after="80"/>
        <w:ind w:left="0" w:right="709"/>
        <w:jc w:val="both"/>
      </w:pPr>
      <w:r>
        <w:rPr>
          <w:rFonts w:ascii="Calibri" w:hAnsi="Calibri" w:cs="Arial"/>
          <w:rtl/>
          <w:sz w:val="24"/>
          <w:szCs w:val="24"/>
        </w:rPr>
        <w:t xml:space="preserve">2.2. يتحقق منسق OCS من أن الكميات ووصف المنتج والبائع والمشتري الواردة في شهادة المعاملة الواردة (أو بيانات الشحنة المرسلة لإصدار الشهادة) تطابق التوريد.</w:t>
      </w:r>
    </w:p>
    <w:p>
      <w:pPr>
        <w:pStyle w:val="ListeParagraf"/>
        <w:bidi/>
        <w:spacing w:after="80"/>
        <w:ind w:left="0" w:right="709"/>
        <w:jc w:val="both"/>
      </w:pPr>
      <w:r>
        <w:rPr>
          <w:rFonts w:ascii="Calibri" w:hAnsi="Calibri" w:cs="Arial"/>
          <w:rtl/>
          <w:sz w:val="24"/>
          <w:szCs w:val="24"/>
        </w:rPr>
        <w:t xml:space="preserve">2.3. تُوقف المواد التي لا تتطابق وثائقها في منطقة الحجر، ولا تُستخدم كمواد عضوية حتى تُحل المشكلة.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التمييز والفصل</w:t>
      </w:r>
    </w:p>
    <w:p>
      <w:pPr>
        <w:pStyle w:val="ListeParagraf"/>
        <w:bidi/>
        <w:spacing w:after="80"/>
        <w:ind w:left="0" w:right="709"/>
        <w:jc w:val="both"/>
      </w:pPr>
      <w:r>
        <w:rPr>
          <w:rFonts w:ascii="Calibri" w:hAnsi="Calibri" w:cs="Arial"/>
          <w:rtl/>
          <w:sz w:val="24"/>
          <w:szCs w:val="24"/>
        </w:rPr>
        <w:t xml:space="preserve">3.1. تُعطى كل دفعة OCS رقم دفعة وملصقًا أخضر «OCS – عضوي» يبين رقم الدفعة والمورد والكمية ورقم شهادة المعاملة.</w:t>
      </w:r>
    </w:p>
    <w:p>
      <w:pPr>
        <w:pStyle w:val="ListeParagraf"/>
        <w:bidi/>
        <w:spacing w:after="80"/>
        <w:ind w:left="0" w:right="709"/>
        <w:jc w:val="both"/>
      </w:pPr>
      <w:r>
        <w:rPr>
          <w:rFonts w:ascii="Calibri" w:hAnsi="Calibri" w:cs="Arial"/>
          <w:rtl/>
          <w:sz w:val="24"/>
          <w:szCs w:val="24"/>
        </w:rPr>
        <w:t xml:space="preserve">3.2. تُخزن مواد OCS في منطقة أو رف منفصل ومحدد بوضوح، ولا تُخزن أبدًا على نفس المنصة أو في نفس الصندوق مع المواد التقليدية.</w:t>
      </w:r>
    </w:p>
    <w:p>
      <w:pPr>
        <w:pStyle w:val="ListeParagraf"/>
        <w:bidi/>
        <w:spacing w:after="80"/>
        <w:ind w:left="0" w:right="709"/>
        <w:jc w:val="both"/>
      </w:pPr>
      <w:r>
        <w:rPr>
          <w:rFonts w:ascii="Calibri" w:hAnsi="Calibri" w:cs="Arial"/>
          <w:rtl/>
          <w:sz w:val="24"/>
          <w:szCs w:val="24"/>
        </w:rPr>
        <w:t xml:space="preserve">3.3. قبل بدء طلبية OCS تُنظف الآلات وطاولات القص وخطوط الخياطة، ويُنفذ تفريغ الخط ويُسجل.</w:t>
      </w:r>
    </w:p>
    <w:p>
      <w:pPr>
        <w:pStyle w:val="ListeParagraf"/>
        <w:bidi/>
        <w:spacing w:after="80"/>
        <w:ind w:left="0" w:right="709"/>
        <w:jc w:val="both"/>
      </w:pPr>
      <w:r>
        <w:rPr>
          <w:rFonts w:ascii="Calibri" w:hAnsi="Calibri" w:cs="Arial"/>
          <w:rtl/>
          <w:sz w:val="24"/>
          <w:szCs w:val="24"/>
        </w:rPr>
        <w:t xml:space="preserve">3.4. تحمل المنتجات قيد التصنيع والقطع المقصوصة والمنتجات النهائية علامات تمييز OCS (ملصقات أو بطاقات حزم ملونة أو بطاقات تعريف) في كل مرحلة.</w:t>
      </w:r>
    </w:p>
    <w:p>
      <w:pPr>
        <w:pStyle w:val="ListeParagraf"/>
        <w:bidi/>
        <w:spacing w:after="80"/>
        <w:ind w:left="0" w:right="709"/>
        <w:jc w:val="both"/>
      </w:pPr>
      <w:r>
        <w:rPr>
          <w:rFonts w:ascii="Calibri" w:hAnsi="Calibri" w:cs="Arial"/>
          <w:rtl/>
          <w:sz w:val="24"/>
          <w:szCs w:val="24"/>
        </w:rPr>
        <w:t xml:space="preserve">3.5. تُعالج طلبيات OCS قدر الإمكان في دفعات منفصلة أو في بداية الوردية؛ ولا يُسمح بالتحميل المختلط مع المواد التقليدية.</w:t>
      </w:r>
    </w:p>
    <w:p>
      <w:pPr>
        <w:pStyle w:val="ListeParagraf"/>
        <w:bidi/>
        <w:spacing w:after="80"/>
        <w:ind w:left="0" w:right="709"/>
        <w:jc w:val="both"/>
      </w:pPr>
      <w:r>
        <w:rPr>
          <w:rFonts w:ascii="Calibri" w:hAnsi="Calibri" w:cs="Arial"/>
          <w:rtl/>
          <w:sz w:val="24"/>
          <w:szCs w:val="24"/>
        </w:rPr>
        <w:t xml:space="preserve">3.6. تُحدد مناطق الإنتاج العضوي ونظام ألوانها ولافتاتها وقواعد الدخول إليها في EMS.OR.PRO.21.02؛ وتُبيَّن طريقة التنظيف عند التبديل وتفريغ الخط في EMS.OR.TL.21.02 وتُسجل في سجل التبديل وتفريغ الخط (EMS.OR.FRM.21.03).</w:t>
      </w:r>
    </w:p>
    <w:p>
      <w:pPr>
        <w:pStyle w:val="ListeParagraf"/>
        <w:bidi/>
        <w:spacing w:after="80"/>
        <w:ind w:left="0" w:right="709"/>
        <w:jc w:val="both"/>
      </w:pPr>
      <w:r>
        <w:rPr>
          <w:rFonts w:ascii="Calibri" w:hAnsi="Calibri" w:cs="Arial"/>
          <w:rtl/>
          <w:sz w:val="24"/>
          <w:szCs w:val="24"/>
        </w:rPr>
        <w:t xml:space="preserve">3.7. تُنقل المواد غير الموسومة أو المشكوك فيها أو المنتظرة للقرار إلى منطقة انتظار صفراء؛ وتُنقل المواد غير المطابقة إلى منطقة حمراء محظورة ولا تُستخدم أبدًا كمواد عضوية.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التتبع وموازنة الكميات</w:t>
      </w:r>
    </w:p>
    <w:p>
      <w:pPr>
        <w:pStyle w:val="ListeParagraf"/>
        <w:bidi/>
        <w:spacing w:after="80"/>
        <w:ind w:left="0" w:right="709"/>
        <w:jc w:val="both"/>
      </w:pPr>
      <w:r>
        <w:rPr>
          <w:rFonts w:ascii="Calibri" w:hAnsi="Calibri" w:cs="Arial"/>
          <w:rtl/>
          <w:sz w:val="24"/>
          <w:szCs w:val="24"/>
        </w:rPr>
        <w:t xml:space="preserve">4.1. لكل طلبية OCS تربط سجلات الإنتاج رقم دفعة المدخلات وشهادة المعاملة بسجلات التريكو ودفعة الصباغة والقص والخياطة والتعبئة.</w:t>
      </w:r>
    </w:p>
    <w:p>
      <w:pPr>
        <w:pStyle w:val="ListeParagraf"/>
        <w:bidi/>
        <w:spacing w:after="80"/>
        <w:ind w:left="0" w:right="709"/>
        <w:jc w:val="both"/>
      </w:pPr>
      <w:r>
        <w:rPr>
          <w:rFonts w:ascii="Calibri" w:hAnsi="Calibri" w:cs="Arial"/>
          <w:rtl/>
          <w:sz w:val="24"/>
          <w:szCs w:val="24"/>
        </w:rPr>
        <w:t xml:space="preserve">4.2. تُسجل كميات المدخلات والمخرجات والفاقد والمرفوضات في كل مرحلة، باستخدام معاملات تحويل يعتمدها منسق OCS.</w:t>
      </w:r>
    </w:p>
    <w:p>
      <w:pPr>
        <w:pStyle w:val="ListeParagraf"/>
        <w:bidi/>
        <w:spacing w:after="80"/>
        <w:ind w:left="0" w:right="709"/>
        <w:jc w:val="both"/>
      </w:pPr>
      <w:r>
        <w:rPr>
          <w:rFonts w:ascii="Calibri" w:hAnsi="Calibri" w:cs="Arial"/>
          <w:rtl/>
          <w:sz w:val="24"/>
          <w:szCs w:val="24"/>
        </w:rPr>
        <w:t xml:space="preserve">4.3. تُجرى موازنة الكميات لكل طلبية وتُلخص كل ربع سنة؛ ولا يجوز أبدًا أن تتجاوز المخرجات المُدّعى أنها عضوية كمية المدخلات المعتمدة مطروحًا منها فاقد العمليات.</w:t>
      </w:r>
    </w:p>
    <w:p>
      <w:pPr>
        <w:pStyle w:val="ListeParagraf"/>
        <w:bidi/>
        <w:spacing w:after="80"/>
        <w:ind w:left="0" w:right="709"/>
        <w:jc w:val="both"/>
      </w:pPr>
      <w:r>
        <w:rPr>
          <w:rFonts w:ascii="Calibri" w:hAnsi="Calibri" w:cs="Arial"/>
          <w:rtl/>
          <w:sz w:val="24"/>
          <w:szCs w:val="24"/>
        </w:rPr>
        <w:t xml:space="preserve">4.4. تُحفظ النفايات والقصاصات العضوية منفصلة وتُسجل.</w:t>
      </w:r>
    </w:p>
    <w:p>
      <w:pPr>
        <w:pStyle w:val="ListeParagraf"/>
        <w:bidi/>
        <w:spacing w:after="80"/>
        <w:ind w:left="0" w:right="709"/>
        <w:jc w:val="both"/>
      </w:pPr>
      <w:r>
        <w:rPr>
          <w:rFonts w:ascii="Calibri" w:hAnsi="Calibri" w:cs="Arial"/>
          <w:rtl/>
          <w:sz w:val="24"/>
          <w:szCs w:val="24"/>
        </w:rPr>
        <w:t xml:space="preserve">4.5. تُسجل موازنة الكميات في سجل موازنة الكتلة العضوية (EMS.OR.FRM.21.04). وتُدرج كل دفعة في سجل تتبع الدفعات العضوية (EMS.OR.FRM.21.02) عند صرفها للإنتاج.</w:t>
      </w:r>
    </w:p>
    <w:p>
      <w:pPr>
        <w:pStyle w:val="ListeParagraf"/>
        <w:bidi/>
        <w:spacing w:after="80"/>
        <w:ind w:left="0" w:right="709"/>
        <w:jc w:val="both"/>
      </w:pPr>
      <w:r>
        <w:rPr>
          <w:rFonts w:ascii="Calibri" w:hAnsi="Calibri" w:cs="Arial"/>
          <w:rtl/>
          <w:sz w:val="24"/>
          <w:szCs w:val="24"/>
        </w:rPr>
        <w:t xml:space="preserve">4.6. يُحقق في أي فرق غير مبرر بين المدخلات والمخرجات المعتمدة؛ وحد التنبيه الداخلي هو 2% من كمية المدخلات (سياسة الشركة)، ويُبلَّغ الفرق إلى جهة الاعتماد عندما يتعذر تفسيره.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التصنيع لدى الغير</w:t>
      </w:r>
    </w:p>
    <w:p>
      <w:pPr>
        <w:pStyle w:val="ListeParagraf"/>
        <w:bidi/>
        <w:spacing w:after="80"/>
        <w:ind w:left="0" w:right="709"/>
        <w:jc w:val="both"/>
      </w:pPr>
      <w:r>
        <w:rPr>
          <w:rFonts w:ascii="Calibri" w:hAnsi="Calibri" w:cs="Arial"/>
          <w:rtl/>
          <w:sz w:val="24"/>
          <w:szCs w:val="24"/>
        </w:rPr>
        <w:t xml:space="preserve">5.1. لا تُرسل مواد OCS إلا إلى مقاولين من الباطن لديهم شهادة نطاق OCS سارية أو مدرجين ضمن نطاق شهادة EMS.</w:t>
      </w:r>
    </w:p>
    <w:p>
      <w:pPr>
        <w:pStyle w:val="ListeParagraf"/>
        <w:bidi/>
        <w:spacing w:after="80"/>
        <w:ind w:left="0" w:right="709"/>
        <w:jc w:val="both"/>
      </w:pPr>
      <w:r>
        <w:rPr>
          <w:rFonts w:ascii="Calibri" w:hAnsi="Calibri" w:cs="Arial"/>
          <w:rtl/>
          <w:sz w:val="24"/>
          <w:szCs w:val="24"/>
        </w:rPr>
        <w:t xml:space="preserve">5.2. تُسجل كميات الإرسال والإرجاع، ويحافظ المقاول من الباطن على فصل المواد وتمييزها.</w:t>
      </w:r>
    </w:p>
    <w:p>
      <w:pPr>
        <w:pStyle w:val="ListeParagraf"/>
        <w:bidi/>
        <w:spacing w:after="80"/>
        <w:ind w:left="0" w:right="709"/>
        <w:jc w:val="both"/>
      </w:pPr>
      <w:r>
        <w:rPr>
          <w:rFonts w:ascii="Calibri" w:hAnsi="Calibri" w:cs="Arial"/>
          <w:rtl/>
          <w:sz w:val="24"/>
          <w:szCs w:val="24"/>
        </w:rPr>
        <w:t xml:space="preserve">5.3. بالنسبة لطلبيات GOTS، يجب أن يحمل المقاولون من الباطن الذين ينفذون المعالجة الرطبة أو الطباعة أو الخياطة شهادة نطاق GOTS سارية خاصة بهم أو أن يكونوا مدرجين في نطاق EMS؛ ويجوز لـ EMS ولجهة الاعتماد زيارتهم بإعلان مسبق أو دونه.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الشحن والتوسيم وطلب شهادة المعاملة</w:t>
      </w:r>
    </w:p>
    <w:p>
      <w:pPr>
        <w:pStyle w:val="ListeParagraf"/>
        <w:bidi/>
        <w:spacing w:after="80"/>
        <w:ind w:left="0" w:right="709"/>
        <w:jc w:val="both"/>
      </w:pPr>
      <w:r>
        <w:rPr>
          <w:rFonts w:ascii="Calibri" w:hAnsi="Calibri" w:cs="Arial"/>
          <w:rtl/>
          <w:sz w:val="24"/>
          <w:szCs w:val="24"/>
        </w:rPr>
        <w:t xml:space="preserve">6.1. لا تحمل المنتجات النهائية ادعاءات OCS إلا وفقًا للتصميم المعتمد من العميل وقواعد التوسيم في معيار OCS.</w:t>
      </w:r>
    </w:p>
    <w:p>
      <w:pPr>
        <w:pStyle w:val="ListeParagraf"/>
        <w:bidi/>
        <w:spacing w:after="80"/>
        <w:ind w:left="0" w:right="709"/>
        <w:jc w:val="both"/>
      </w:pPr>
      <w:r>
        <w:rPr>
          <w:rFonts w:ascii="Calibri" w:hAnsi="Calibri" w:cs="Arial"/>
          <w:rtl/>
          <w:sz w:val="24"/>
          <w:szCs w:val="24"/>
        </w:rPr>
        <w:t xml:space="preserve">6.2. بعد الشحن يرسل منسق OCS بيانات الشحنة إلى جهة الاعتماد ويطلب شهادة المعاملة الصادرة في الوقت المحدد.</w:t>
      </w:r>
    </w:p>
    <w:p>
      <w:pPr>
        <w:pStyle w:val="ListeParagraf"/>
        <w:bidi/>
        <w:spacing w:after="80"/>
        <w:ind w:left="0" w:right="709"/>
        <w:jc w:val="both"/>
      </w:pPr>
      <w:r>
        <w:rPr>
          <w:rFonts w:ascii="Calibri" w:hAnsi="Calibri" w:cs="Arial"/>
          <w:rtl/>
          <w:sz w:val="24"/>
          <w:szCs w:val="24"/>
        </w:rPr>
        <w:t xml:space="preserve">6.3. تُحفظ شهادات المعاملات والفواتير وقوائم التعبئة وبوالص الشحن معًا لكل شحنة.</w:t>
      </w:r>
    </w:p>
    <w:p>
      <w:pPr>
        <w:pStyle w:val="ListeParagraf"/>
        <w:bidi/>
        <w:spacing w:after="80"/>
        <w:ind w:left="0" w:right="709"/>
        <w:jc w:val="both"/>
      </w:pPr>
      <w:r>
        <w:rPr>
          <w:rFonts w:ascii="Calibri" w:hAnsi="Calibri" w:cs="Arial"/>
          <w:rtl/>
          <w:sz w:val="24"/>
          <w:szCs w:val="24"/>
        </w:rPr>
        <w:t xml:space="preserve">6.4. قبل الإرسال يُستكمل نموذج الشحن وطلب شهادة المعاملة (EMS.OR.FRM.21.07): تُفحص الملصقات والكراتين والوثائق، ويُذكر رقم الشهادة والادعاء العضوي في وثائق المبيعات.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المتطلبات البيئية والاجتماعية لمعيار GOTS</w:t>
      </w:r>
    </w:p>
    <w:p>
      <w:pPr>
        <w:pStyle w:val="ListeParagraf"/>
        <w:bidi/>
        <w:spacing w:after="80"/>
        <w:ind w:left="0" w:right="709"/>
        <w:jc w:val="both"/>
      </w:pPr>
      <w:r>
        <w:rPr>
          <w:rFonts w:ascii="Calibri" w:hAnsi="Calibri" w:cs="Arial"/>
          <w:rtl/>
          <w:sz w:val="24"/>
          <w:szCs w:val="24"/>
        </w:rPr>
        <w:t xml:space="preserve">7.1. يعتمد منسق OCS المدخلات الكيميائية (الأصباغ والمواد المساعدة ومواد التجهيز والتنظيف) المستخدمة في طلبيات GOTS وفق معايير GOTS وقائمة ZDHC MRSL قبل شرائها، وتُدرج في جرد المواد الكيميائية (EMS.KM.PRO.20.01).</w:t>
      </w:r>
    </w:p>
    <w:p>
      <w:pPr>
        <w:pStyle w:val="ListeParagraf"/>
        <w:bidi/>
        <w:spacing w:after="80"/>
        <w:ind w:left="0" w:right="709"/>
        <w:jc w:val="both"/>
      </w:pPr>
      <w:r>
        <w:rPr>
          <w:rFonts w:ascii="Calibri" w:hAnsi="Calibri" w:cs="Arial"/>
          <w:rtl/>
          <w:sz w:val="24"/>
          <w:szCs w:val="24"/>
        </w:rPr>
        <w:t xml:space="preserve">7.2. تُخزن المواد الكيميائية المعتمدة بمعزل عن بقية المواد الكيميائية في منطقة تخزين المواد الكيميائية (المنطقة 13)، وتكون موسومة ومعها ورقة بيانات سلامة حديثة، وتُصرف للإنتاج مع تسجيل (EMS.KM.PRO.20.05، EMS.KM.TL.20.02).</w:t>
      </w:r>
    </w:p>
    <w:p>
      <w:pPr>
        <w:pStyle w:val="ListeParagraf"/>
        <w:bidi/>
        <w:spacing w:after="80"/>
        <w:ind w:left="0" w:right="709"/>
        <w:jc w:val="both"/>
      </w:pPr>
      <w:r>
        <w:rPr>
          <w:rFonts w:ascii="Calibri" w:hAnsi="Calibri" w:cs="Arial"/>
          <w:rtl/>
          <w:sz w:val="24"/>
          <w:szCs w:val="24"/>
        </w:rPr>
        <w:t xml:space="preserve">7.3. تُعالج مياه الصرف الناتجة عن المعالجة الرطبة في محطة معالجة المياه وتُراقب وتُسجل النتائج (EMS.ÇV.PRO.19.02).</w:t>
      </w:r>
    </w:p>
    <w:p>
      <w:pPr>
        <w:pStyle w:val="ListeParagraf"/>
        <w:bidi/>
        <w:spacing w:after="80"/>
        <w:ind w:left="0" w:right="709"/>
        <w:jc w:val="both"/>
      </w:pPr>
      <w:r>
        <w:rPr>
          <w:rFonts w:ascii="Calibri" w:hAnsi="Calibri" w:cs="Arial"/>
          <w:rtl/>
          <w:sz w:val="24"/>
          <w:szCs w:val="24"/>
        </w:rPr>
        <w:t xml:space="preserve">7.4. تُفرز النفايات عند المصدر، ولا تُخلط قصاصات المواد العضوية والتقليدية، وتُحفظ النفايات الخطرة في منطقة التخزين المؤقت حتى تجمعها شركة مرخصة (EMS.ÇV.TL.19.01، EMS.ÇV.PRO.19.05).</w:t>
      </w:r>
    </w:p>
    <w:p>
      <w:pPr>
        <w:pStyle w:val="ListeParagraf"/>
        <w:bidi/>
        <w:spacing w:after="80"/>
        <w:ind w:left="0" w:right="709"/>
        <w:jc w:val="both"/>
      </w:pPr>
      <w:r>
        <w:rPr>
          <w:rFonts w:ascii="Calibri" w:hAnsi="Calibri" w:cs="Arial"/>
          <w:rtl/>
          <w:sz w:val="24"/>
          <w:szCs w:val="24"/>
        </w:rPr>
        <w:t xml:space="preserve">7.5. تُطبق المعايير الاجتماعية في GOTS، القائمة على اتفاقيات العمل الدولية الأساسية، من خلال إجراءات الموارد البشرية والامتثال الاجتماعي في EMS، وتُراجع في التدقيق الداخلي السنوي.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المتابعة والأداء</w:t>
      </w:r>
    </w:p>
    <w:p>
      <w:pPr>
        <w:pStyle w:val="ListeParagraf"/>
        <w:bidi/>
        <w:spacing w:after="80"/>
        <w:ind w:left="0" w:right="709"/>
        <w:jc w:val="both"/>
      </w:pPr>
      <w:r>
        <w:rPr>
          <w:rFonts w:ascii="Calibri" w:hAnsi="Calibri" w:cs="Arial"/>
          <w:rtl/>
          <w:sz w:val="24"/>
          <w:szCs w:val="24"/>
        </w:rPr>
        <w:t xml:space="preserve">8.1. يتابع منسق OCS المؤشرات التالية ويرفعها إلى الإدارة:</w:t>
      </w:r>
    </w:p>
    <w:p>
      <w:pPr>
        <w:pStyle w:val="ListeParagraf"/>
        <w:numPr>
          <w:ilvl w:val="0"/>
          <w:numId w:val="1"/>
        </w:numPr>
        <w:bidi/>
        <w:spacing w:after="60"/>
        <w:jc w:val="both"/>
      </w:pPr>
      <w:r>
        <w:rPr>
          <w:rFonts w:ascii="Calibri" w:hAnsi="Calibri" w:cs="Arial"/>
          <w:rtl/>
          <w:sz w:val="24"/>
          <w:szCs w:val="24"/>
        </w:rPr>
        <w:t xml:space="preserve">فرق موازنة الكميات لكل طلبية (الهدف: عدم وجود أي فرق غير مبرر)،</w:t>
      </w:r>
    </w:p>
    <w:p>
      <w:pPr>
        <w:pStyle w:val="ListeParagraf"/>
        <w:numPr>
          <w:ilvl w:val="0"/>
          <w:numId w:val="1"/>
        </w:numPr>
        <w:bidi/>
        <w:spacing w:after="60"/>
        <w:jc w:val="both"/>
      </w:pPr>
      <w:r>
        <w:rPr>
          <w:rFonts w:ascii="Calibri" w:hAnsi="Calibri" w:cs="Arial"/>
          <w:rtl/>
          <w:sz w:val="24"/>
          <w:szCs w:val="24"/>
        </w:rPr>
        <w:t xml:space="preserve">عدد حالات عدم المطابقة في الفصل أو التوسيم التي تُكتشف في الفحوصات الداخلية والتدقيق،</w:t>
      </w:r>
    </w:p>
    <w:p>
      <w:pPr>
        <w:pStyle w:val="ListeParagraf"/>
        <w:numPr>
          <w:ilvl w:val="0"/>
          <w:numId w:val="1"/>
        </w:numPr>
        <w:bidi/>
        <w:spacing w:after="60"/>
        <w:jc w:val="both"/>
      </w:pPr>
      <w:r>
        <w:rPr>
          <w:rFonts w:ascii="Calibri" w:hAnsi="Calibri" w:cs="Arial"/>
          <w:rtl/>
          <w:sz w:val="24"/>
          <w:szCs w:val="24"/>
        </w:rPr>
        <w:t xml:space="preserve">نسبة شهادات المعاملات الواردة المستلمة وشهادات المعاملات الصادرة المطلوبة في الوقت المحدد.</w:t>
      </w:r>
    </w:p>
    <w:p>
      <w:pPr>
        <w:pStyle w:val="ListeParagraf"/>
        <w:bidi/>
        <w:spacing w:after="80"/>
        <w:ind w:left="0" w:right="709"/>
        <w:jc w:val="both"/>
      </w:pPr>
      <w:r>
        <w:rPr>
          <w:rFonts w:ascii="Calibri" w:hAnsi="Calibri" w:cs="Arial"/>
          <w:rtl/>
          <w:sz w:val="24"/>
          <w:szCs w:val="24"/>
        </w:rPr>
        <w:t xml:space="preserve">8.2. يُجرى تدقيق داخلي لمعياري OCS وGOTS سنويًا قبل التدقيق الخارجي، ويتضمن اختبار تتبع لطلبية واحدة على الأقل.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شهادات نطاق الموردين وشهادات المعاملات الواردة</w:t>
      </w:r>
    </w:p>
    <w:p>
      <w:pPr>
        <w:pStyle w:val="ListeParagraf"/>
        <w:numPr>
          <w:ilvl w:val="0"/>
          <w:numId w:val="1"/>
        </w:numPr>
        <w:bidi/>
        <w:spacing w:after="60"/>
        <w:jc w:val="both"/>
      </w:pPr>
      <w:r>
        <w:rPr>
          <w:rFonts w:ascii="Calibri" w:hAnsi="Calibri" w:cs="Arial"/>
          <w:rtl/>
          <w:sz w:val="24"/>
          <w:szCs w:val="24"/>
        </w:rPr>
        <w:t xml:space="preserve">سجل دفعات OCS وسجلات حركة المواد</w:t>
      </w:r>
    </w:p>
    <w:p>
      <w:pPr>
        <w:pStyle w:val="ListeParagraf"/>
        <w:numPr>
          <w:ilvl w:val="0"/>
          <w:numId w:val="1"/>
        </w:numPr>
        <w:bidi/>
        <w:spacing w:after="60"/>
        <w:jc w:val="both"/>
      </w:pPr>
      <w:r>
        <w:rPr>
          <w:rFonts w:ascii="Calibri" w:hAnsi="Calibri" w:cs="Arial"/>
          <w:rtl/>
          <w:sz w:val="24"/>
          <w:szCs w:val="24"/>
        </w:rPr>
        <w:t xml:space="preserve">سجلات تفريغ الخط</w:t>
      </w:r>
    </w:p>
    <w:p>
      <w:pPr>
        <w:pStyle w:val="ListeParagraf"/>
        <w:numPr>
          <w:ilvl w:val="0"/>
          <w:numId w:val="1"/>
        </w:numPr>
        <w:bidi/>
        <w:spacing w:after="60"/>
        <w:jc w:val="both"/>
      </w:pPr>
      <w:r>
        <w:rPr>
          <w:rFonts w:ascii="Calibri" w:hAnsi="Calibri" w:cs="Arial"/>
          <w:rtl/>
          <w:sz w:val="24"/>
          <w:szCs w:val="24"/>
        </w:rPr>
        <w:t xml:space="preserve">سجلات موازنة الكميات</w:t>
      </w:r>
    </w:p>
    <w:p>
      <w:pPr>
        <w:pStyle w:val="ListeParagraf"/>
        <w:numPr>
          <w:ilvl w:val="0"/>
          <w:numId w:val="1"/>
        </w:numPr>
        <w:bidi/>
        <w:spacing w:after="60"/>
        <w:jc w:val="both"/>
      </w:pPr>
      <w:r>
        <w:rPr>
          <w:rFonts w:ascii="Calibri" w:hAnsi="Calibri" w:cs="Arial"/>
          <w:rtl/>
          <w:sz w:val="24"/>
          <w:szCs w:val="24"/>
        </w:rPr>
        <w:t xml:space="preserve">شهادات المعاملات الصادرة ووثائق الشحن</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وتفريغ الخط في الإنتاج العضوي</w:t>
      </w:r>
    </w:p>
    <w:p>
      <w:pPr>
        <w:pStyle w:val="ListeParagraf"/>
        <w:numPr>
          <w:ilvl w:val="0"/>
          <w:numId w:val="1"/>
        </w:numPr>
        <w:bidi/>
        <w:spacing w:after="60"/>
        <w:jc w:val="both"/>
      </w:pPr>
      <w:r>
        <w:rPr>
          <w:rFonts w:ascii="Calibri" w:hAnsi="Calibri" w:cs="Arial"/>
          <w:rtl/>
          <w:sz w:val="24"/>
          <w:szCs w:val="24"/>
        </w:rPr>
        <w:t xml:space="preserve">EMS.OR.PRO.21.03. إجراء فحص مناطق الإنتاج العضوي والتدريب والكفاءة</w:t>
      </w:r>
    </w:p>
    <w:p>
      <w:pPr>
        <w:pStyle w:val="ListeParagraf"/>
        <w:numPr>
          <w:ilvl w:val="0"/>
          <w:numId w:val="1"/>
        </w:numPr>
        <w:bidi/>
        <w:spacing w:after="60"/>
        <w:jc w:val="both"/>
      </w:pPr>
      <w:r>
        <w:rPr>
          <w:rFonts w:ascii="Calibri" w:hAnsi="Calibri" w:cs="Arial"/>
          <w:rtl/>
          <w:sz w:val="24"/>
          <w:szCs w:val="24"/>
        </w:rPr>
        <w:t xml:space="preserve">النماذج EMS.OR.FRM.21.01 إلى EMS.OR.FRM.21.08 (الاستلام والتحقق من شهادة المعاملة، سجل الدفعات، سجل التبديل، موازنة الكتلة، اعتماد الملصقات، قائمة الفحص اليومية للمناطق، الشحن وطلب شهادة المعاملة، سجل التدريب)</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لقائمة ZDHC MRSL</w:t>
      </w:r>
    </w:p>
    <w:p>
      <w:pPr>
        <w:pStyle w:val="ListeParagraf"/>
        <w:numPr>
          <w:ilvl w:val="0"/>
          <w:numId w:val="1"/>
        </w:numPr>
        <w:bidi/>
        <w:spacing w:after="60"/>
        <w:jc w:val="both"/>
      </w:pPr>
      <w:r>
        <w:rPr>
          <w:rFonts w:ascii="Calibri" w:hAnsi="Calibri" w:cs="Arial"/>
          <w:rtl/>
          <w:sz w:val="24"/>
          <w:szCs w:val="24"/>
        </w:rPr>
        <w:t xml:space="preserve">EMS.KM.PRO.20.05. إجراء تخزين المواد الكيميائية ومناولتها</w:t>
      </w:r>
    </w:p>
    <w:p>
      <w:pPr>
        <w:pStyle w:val="ListeParagraf"/>
        <w:numPr>
          <w:ilvl w:val="0"/>
          <w:numId w:val="1"/>
        </w:numPr>
        <w:bidi/>
        <w:spacing w:after="60"/>
        <w:jc w:val="both"/>
      </w:pPr>
      <w:r>
        <w:rPr>
          <w:rFonts w:ascii="Calibri" w:hAnsi="Calibri" w:cs="Arial"/>
          <w:rtl/>
          <w:sz w:val="24"/>
          <w:szCs w:val="24"/>
        </w:rPr>
        <w:t xml:space="preserve">EMS.ÇV.PRO.19.02. إجراء إدارة مياه الصرف ومراقبتها</w:t>
      </w:r>
    </w:p>
    <w:p>
      <w:pPr>
        <w:pStyle w:val="ListeParagraf"/>
        <w:numPr>
          <w:ilvl w:val="0"/>
          <w:numId w:val="1"/>
        </w:numPr>
        <w:bidi/>
        <w:spacing w:after="60"/>
        <w:jc w:val="both"/>
      </w:pPr>
      <w:r>
        <w:rPr>
          <w:rFonts w:ascii="Calibri" w:hAnsi="Calibri" w:cs="Arial"/>
          <w:rtl/>
          <w:sz w:val="24"/>
          <w:szCs w:val="24"/>
        </w:rPr>
        <w:t xml:space="preserve">EMS.ÇV.TL.19.01. تعليمات فصل النفايات</w:t>
      </w:r>
    </w:p>
    <w:p>
      <w:pPr>
        <w:pStyle w:val="ListeParagraf"/>
        <w:numPr>
          <w:ilvl w:val="0"/>
          <w:numId w:val="1"/>
        </w:numPr>
        <w:bidi/>
        <w:spacing w:after="60"/>
        <w:jc w:val="both"/>
      </w:pPr>
      <w:r>
        <w:rPr>
          <w:rFonts w:ascii="Calibri" w:hAnsi="Calibri" w:cs="Arial"/>
          <w:rtl/>
          <w:sz w:val="24"/>
          <w:szCs w:val="24"/>
        </w:rPr>
        <w:t xml:space="preserve">EMS.GR.PRO.14.02. إجراء شهادات المعاملات والتوسيم</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المنتجات</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OCS، أو قبل ذلك عند تغير معيار OCS أو متطلبات العملاء أو نطاق الشهادة. وتُقيّم نتائج التدقيق، ويُعدل الإجراء عند الحاجة.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OCS MATERIAL HANDLING, SEGREGATION AND TRACEABILITY PROCEDURE</w:t>
          </w:r>
        </w:p>
        <w:p>
          <w:pPr>
            <w:pStyle w:val="GvdeMetni2"/>
            <w:bidi/>
            <w:spacing w:line="276" w:lineRule="auto"/>
            <w:jc w:val="center"/>
          </w:pPr>
          <w:r>
            <w:rPr>
              <w:rFonts w:asciiTheme="minorHAnsi" w:hAnsiTheme="minorHAnsi" w:cs="Arial"/>
              <w:b/>
              <w:bCs/>
              <w:color w:val="000000" w:themeColor="text1"/>
              <w:sz w:val="22"/>
              <w:szCs w:val="22"/>
              <w:rtl/>
            </w:rPr>
            <w:t>إجراء مناولة مواد OCS وفصلها وتتبعها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EMS.OR.PRO.21.01.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19.10.2026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EMS.OR.PRO.21.01. OCS MATERIAL HANDLING, SEGREGATION AND TRACEABILITY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