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explains how OCS organic material and products are identified at every stage and how organic product labels are applied at Eroglu Knitting (EMS), so that organic and conventional goods are never mixed and every organic claim is correct.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OCS orders in the warehouse, knitting, dyeing and finishing, cutting, sewing, printing, embroidery, ironing and packing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Issues the green OCS labels and bundle tickets, approves label artwork and checks this instruction is applied.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Make sure every roll, bundle and carton of an OCS order is identified and that line clearance is done.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Packers:</w:t>
      </w:r>
      <w:r>
        <w:rPr>
          <w:rFonts w:ascii="Calibri" w:hAnsi="Calibri" w:cs="Arial"/>
          <w:sz w:val="24"/>
          <w:szCs w:val="24"/>
        </w:rPr>
        <w:t xml:space="preserve"> Apply the labels as instructed and report any unlabelled or doubtful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Inspectors:</w:t>
      </w:r>
      <w:r>
        <w:rPr>
          <w:rFonts w:ascii="Calibri" w:hAnsi="Calibri" w:cs="Arial"/>
          <w:sz w:val="24"/>
          <w:szCs w:val="24"/>
        </w:rPr>
        <w:t xml:space="preserve"> Check identification and product labels during in-line and final inspection.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OCS Label:</w:t>
      </w:r>
      <w:r>
        <w:rPr>
          <w:rFonts w:ascii="Calibri" w:hAnsi="Calibri" w:cs="Arial"/>
          <w:sz w:val="24"/>
          <w:szCs w:val="24"/>
        </w:rPr>
        <w:t xml:space="preserve"> The internal identification label used on organic rolls, boxes, bundles, trolleys and cartons, showing order number, OCS lot number and TC number.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 Label:</w:t>
      </w:r>
      <w:r>
        <w:rPr>
          <w:rFonts w:ascii="Calibri" w:hAnsi="Calibri" w:cs="Arial"/>
          <w:sz w:val="24"/>
          <w:szCs w:val="24"/>
        </w:rPr>
        <w:t xml:space="preserve"> The care, composition, hang tag or OCS claim label attached to the garment according to the customer-approved artwork.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on the production order that the order is marked “OCS” and note the OCS lot number.</w:t>
      </w:r>
    </w:p>
    <w:p>
      <w:pPr>
        <w:pStyle w:val="ListeParagraf"/>
        <w:spacing w:after="80"/>
        <w:ind w:left="709" w:right="0"/>
        <w:jc w:val="both"/>
      </w:pPr>
      <w:r>
        <w:rPr>
          <w:rFonts w:ascii="Calibri" w:hAnsi="Calibri" w:cs="Arial"/>
          <w:sz w:val="24"/>
          <w:szCs w:val="24"/>
        </w:rPr>
        <w:t xml:space="preserve">1.2. Collect the green OCS labels, bundle tickets and approved product labels from the OCS Coordinator; count them and sign the issue record.</w:t>
      </w:r>
    </w:p>
    <w:p>
      <w:pPr>
        <w:pStyle w:val="ListeParagraf"/>
        <w:spacing w:after="80"/>
        <w:ind w:left="709" w:right="0"/>
        <w:jc w:val="both"/>
      </w:pPr>
      <w:r>
        <w:rPr>
          <w:rFonts w:ascii="Calibri" w:hAnsi="Calibri" w:cs="Arial"/>
          <w:sz w:val="24"/>
          <w:szCs w:val="24"/>
        </w:rPr>
        <w:t xml:space="preserve">1.3. Carry out line clearance: remove all conventional material, labels and leftovers from the machine, table or line and record it on the Changeover and Line Clearance Record (EMS.OR.FRM.21.03), using the cleaning method of EMS.OR.TL.21.02.</w:t>
      </w:r>
    </w:p>
    <w:p>
      <w:pPr>
        <w:pStyle w:val="ListeParagraf"/>
        <w:spacing w:before="120" w:after="60"/>
        <w:ind w:left="709" w:right="0"/>
      </w:pPr>
      <w:r>
        <w:rPr>
          <w:rFonts w:ascii="Calibri" w:hAnsi="Calibri" w:cs="Arial"/>
          <w:b/>
          <w:bCs/>
          <w:sz w:val="24"/>
          <w:szCs w:val="24"/>
        </w:rPr>
        <w:t xml:space="preserve">2. IDENTIFICATION DURING PRODUCTION</w:t>
      </w:r>
    </w:p>
    <w:p>
      <w:pPr>
        <w:pStyle w:val="ListeParagraf"/>
        <w:spacing w:after="80"/>
        <w:ind w:left="709" w:right="0"/>
        <w:jc w:val="both"/>
      </w:pPr>
      <w:r>
        <w:rPr>
          <w:rFonts w:ascii="Calibri" w:hAnsi="Calibri" w:cs="Arial"/>
          <w:sz w:val="24"/>
          <w:szCs w:val="24"/>
        </w:rPr>
        <w:t xml:space="preserve">2.1. Warehouse: attach a green OCS label to every yarn carton and fabric roll and store it only in the marked OCS area.</w:t>
      </w:r>
    </w:p>
    <w:p>
      <w:pPr>
        <w:pStyle w:val="ListeParagraf"/>
        <w:spacing w:after="80"/>
        <w:ind w:left="709" w:right="0"/>
        <w:jc w:val="both"/>
      </w:pPr>
      <w:r>
        <w:rPr>
          <w:rFonts w:ascii="Calibri" w:hAnsi="Calibri" w:cs="Arial"/>
          <w:sz w:val="24"/>
          <w:szCs w:val="24"/>
        </w:rPr>
        <w:t xml:space="preserve">2.2. Knitting and dyehouse: write “OCS” and the lot number on every roll label and dye batch card.</w:t>
      </w:r>
    </w:p>
    <w:p>
      <w:pPr>
        <w:pStyle w:val="ListeParagraf"/>
        <w:spacing w:after="80"/>
        <w:ind w:left="709" w:right="0"/>
        <w:jc w:val="both"/>
      </w:pPr>
      <w:r>
        <w:rPr>
          <w:rFonts w:ascii="Calibri" w:hAnsi="Calibri" w:cs="Arial"/>
          <w:sz w:val="24"/>
          <w:szCs w:val="24"/>
        </w:rPr>
        <w:t xml:space="preserve">2.3. Cutting, sewing, printing and embroidery: use green bundle tickets and keep OCS bundles on separate, marked trolleys or shelves.</w:t>
      </w:r>
    </w:p>
    <w:p>
      <w:pPr>
        <w:pStyle w:val="ListeParagraf"/>
        <w:spacing w:after="80"/>
        <w:ind w:left="709" w:right="0"/>
        <w:jc w:val="both"/>
      </w:pPr>
      <w:r>
        <w:rPr>
          <w:rFonts w:ascii="Calibri" w:hAnsi="Calibri" w:cs="Arial"/>
          <w:sz w:val="24"/>
          <w:szCs w:val="24"/>
        </w:rPr>
        <w:t xml:space="preserve">2.4. Collect organic offcuts and rejects in green-marked bags and record their weight.</w:t>
      </w:r>
    </w:p>
    <w:p>
      <w:pPr>
        <w:pStyle w:val="ListeParagraf"/>
        <w:spacing w:after="80"/>
        <w:ind w:left="709" w:right="0"/>
        <w:jc w:val="both"/>
      </w:pPr>
      <w:r>
        <w:rPr>
          <w:rFonts w:ascii="Calibri" w:hAnsi="Calibri" w:cs="Arial"/>
          <w:sz w:val="24"/>
          <w:szCs w:val="24"/>
        </w:rPr>
        <w:t xml:space="preserve">2.5. Follow the colour code on area signs, floor markings and trolleys: green = organic product area, blue = conventional area, yellow = holding or quarantine, red = non-conforming or blocked. Material whose status is doubtful goes to a yellow area until it is checked.</w:t>
      </w:r>
    </w:p>
    <w:p>
      <w:pPr>
        <w:pStyle w:val="ListeParagraf"/>
        <w:spacing w:before="120" w:after="60"/>
        <w:ind w:left="709" w:right="0"/>
      </w:pPr>
      <w:r>
        <w:rPr>
          <w:rFonts w:ascii="Calibri" w:hAnsi="Calibri" w:cs="Arial"/>
          <w:b/>
          <w:bCs/>
          <w:sz w:val="24"/>
          <w:szCs w:val="24"/>
        </w:rPr>
        <w:t xml:space="preserve">3. PRODUCT LABELLING AND PACKING</w:t>
      </w:r>
    </w:p>
    <w:p>
      <w:pPr>
        <w:pStyle w:val="ListeParagraf"/>
        <w:spacing w:after="80"/>
        <w:ind w:left="709" w:right="0"/>
        <w:jc w:val="both"/>
      </w:pPr>
      <w:r>
        <w:rPr>
          <w:rFonts w:ascii="Calibri" w:hAnsi="Calibri" w:cs="Arial"/>
          <w:sz w:val="24"/>
          <w:szCs w:val="24"/>
        </w:rPr>
        <w:t xml:space="preserve">3.1. Use only the product labels of the approved artwork; the fibre composition (e.g. “95% organic cotton, 5% elastane”) must match the order and the technical file.</w:t>
      </w:r>
    </w:p>
    <w:p>
      <w:pPr>
        <w:pStyle w:val="ListeParagraf"/>
        <w:spacing w:after="80"/>
        <w:ind w:left="709" w:right="0"/>
        <w:jc w:val="both"/>
      </w:pPr>
      <w:r>
        <w:rPr>
          <w:rFonts w:ascii="Calibri" w:hAnsi="Calibri" w:cs="Arial"/>
          <w:sz w:val="24"/>
          <w:szCs w:val="24"/>
        </w:rPr>
        <w:t xml:space="preserve">3.2. The OCS logo or claim is used only when it is approved for the order by the OCS Coordinator and the customer, in line with the OCS labelling rules.</w:t>
      </w:r>
    </w:p>
    <w:p>
      <w:pPr>
        <w:pStyle w:val="ListeParagraf"/>
        <w:spacing w:after="80"/>
        <w:ind w:left="709" w:right="0"/>
        <w:jc w:val="both"/>
      </w:pPr>
      <w:r>
        <w:rPr>
          <w:rFonts w:ascii="Calibri" w:hAnsi="Calibri" w:cs="Arial"/>
          <w:sz w:val="24"/>
          <w:szCs w:val="24"/>
        </w:rPr>
        <w:t xml:space="preserve">3.3. Mark every carton and the packing list with “OCS” and the order number; pack OCS garments only in OCS cartons.</w:t>
      </w:r>
    </w:p>
    <w:p>
      <w:pPr>
        <w:pStyle w:val="ListeParagraf"/>
        <w:spacing w:after="80"/>
        <w:ind w:left="709" w:right="0"/>
        <w:jc w:val="both"/>
      </w:pPr>
      <w:r>
        <w:rPr>
          <w:rFonts w:ascii="Calibri" w:hAnsi="Calibri" w:cs="Arial"/>
          <w:sz w:val="24"/>
          <w:szCs w:val="24"/>
        </w:rPr>
        <w:t xml:space="preserve">3.4. Return all unused product labels to the OCS Coordinator at the end of the order; they are counted and recorded.</w:t>
      </w:r>
    </w:p>
    <w:p>
      <w:pPr>
        <w:pStyle w:val="ListeParagraf"/>
        <w:spacing w:after="80"/>
        <w:ind w:left="709" w:right="0"/>
        <w:jc w:val="both"/>
      </w:pPr>
      <w:r>
        <w:rPr>
          <w:rFonts w:ascii="Calibri" w:hAnsi="Calibri" w:cs="Arial"/>
          <w:sz w:val="24"/>
          <w:szCs w:val="24"/>
        </w:rPr>
        <w:t xml:space="preserve">3.5. Before any organic logo, licence number or claim is printed on a label, tag or carton, the OCS Coordinator obtains the written approval of the certification body and records it, together with the issue, use and return of labels, on the Organic Label Approval and Issue Form (EMS.OR.FRM.21.05).</w:t>
      </w:r>
    </w:p>
    <w:p>
      <w:pPr>
        <w:pStyle w:val="ListeParagraf"/>
        <w:spacing w:after="80"/>
        <w:ind w:left="709" w:right="0"/>
        <w:jc w:val="both"/>
      </w:pPr>
      <w:r>
        <w:rPr>
          <w:rFonts w:ascii="Calibri" w:hAnsi="Calibri" w:cs="Arial"/>
          <w:sz w:val="24"/>
          <w:szCs w:val="24"/>
        </w:rPr>
        <w:t xml:space="preserve">3.6. Use the label grade that matches the product: “Organic” only when at least 95% of the fibres are certified organic, and “Made with organic materials” when at least 70% are certified organic, as approved for the order.</w:t>
      </w:r>
    </w:p>
    <w:p>
      <w:pPr>
        <w:pStyle w:val="ListeParagraf"/>
        <w:spacing w:before="120" w:after="60"/>
        <w:ind w:left="709" w:right="0"/>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on the same pallet, trolley, table or carton.</w:t>
      </w:r>
    </w:p>
    <w:p>
      <w:pPr>
        <w:pStyle w:val="ListeParagraf"/>
        <w:numPr>
          <w:ilvl w:val="0"/>
          <w:numId w:val="1"/>
        </w:numPr>
        <w:spacing w:after="60"/>
        <w:jc w:val="both"/>
      </w:pPr>
      <w:r>
        <w:rPr>
          <w:rFonts w:ascii="Calibri" w:hAnsi="Calibri" w:cs="Arial"/>
          <w:sz w:val="24"/>
          <w:szCs w:val="24"/>
        </w:rPr>
        <w:t xml:space="preserve">Do not put an organic or OCS label on any product that is not part of a certified OCS order.</w:t>
      </w:r>
    </w:p>
    <w:p>
      <w:pPr>
        <w:pStyle w:val="ListeParagraf"/>
        <w:numPr>
          <w:ilvl w:val="0"/>
          <w:numId w:val="1"/>
        </w:numPr>
        <w:spacing w:after="60"/>
        <w:jc w:val="both"/>
      </w:pPr>
      <w:r>
        <w:rPr>
          <w:rFonts w:ascii="Calibri" w:hAnsi="Calibri" w:cs="Arial"/>
          <w:sz w:val="24"/>
          <w:szCs w:val="24"/>
        </w:rPr>
        <w:t xml:space="preserve">Do not remove, cover or change a green OCS label.</w:t>
      </w:r>
    </w:p>
    <w:p>
      <w:pPr>
        <w:pStyle w:val="ListeParagraf"/>
        <w:spacing w:before="120" w:after="60"/>
        <w:ind w:left="709" w:right="0"/>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material has no label or its status is doubtful, stop work, put it in the quarantine area and inform the OCS Coordinator; it is treated as conventional until verified.</w:t>
      </w:r>
    </w:p>
    <w:p>
      <w:pPr>
        <w:pStyle w:val="ListeParagraf"/>
        <w:spacing w:after="80"/>
        <w:ind w:left="709" w:right="0"/>
        <w:jc w:val="both"/>
      </w:pPr>
      <w:r>
        <w:rPr>
          <w:rFonts w:ascii="Calibri" w:hAnsi="Calibri" w:cs="Arial"/>
          <w:sz w:val="24"/>
          <w:szCs w:val="24"/>
        </w:rPr>
        <w:t xml:space="preserve">5.2. If a wrong label is found, stop packing, remove the labels, inform Quality and record a nonconformity.</w:t>
      </w: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EMS.OR.FRM.21.03. Changeover and Line Clearance Record</w:t>
      </w:r>
    </w:p>
    <w:p>
      <w:pPr>
        <w:pStyle w:val="ListeParagraf"/>
        <w:numPr>
          <w:ilvl w:val="0"/>
          <w:numId w:val="1"/>
        </w:numPr>
        <w:spacing w:after="60"/>
        <w:jc w:val="both"/>
      </w:pPr>
      <w:r>
        <w:rPr>
          <w:rFonts w:ascii="Calibri" w:hAnsi="Calibri" w:cs="Arial"/>
          <w:sz w:val="24"/>
          <w:szCs w:val="24"/>
        </w:rPr>
        <w:t xml:space="preserve">EMS.OR.FRM.21.05. Organic Label Approval and Issue Form</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EMS.QA.PRO.02.06. Nonconformity Notification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OCS Coordinator checks the application of this instruction every month and during the annual internal OCS audit. The instruction is reviewed every year or when the OCS standard or customer labelling requirements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تمييز مواد ومنتجات OCS العضوية في كل مرحلة وكيفية وضع ملصقات المنتجات العضوية في شركة إيروغلو للتريكو (EMS)، بحيث لا تُخلط البضائع العضوية والتقليدية أبدًا ويكون كل ادعاء عضوي صحيحًا.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طلبيات OCS في أقسام المستودع والتريكو والصباغة والتجهيز والقص والخياطة والطباعة والتطريز والكي والتعبئة.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يصرف ملصقات OCS الخضراء وبطاقات الحزم، ويعتمد تصاميم الملصقات، ويتحقق من تطبيق هذه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يتأكدون من تمييز كل لفة وحزمة وكرتونة من طلبية OCS ومن تنفيذ تفريغ الخط.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وعمال التعبئة:</w:t>
      </w:r>
      <w:r>
        <w:rPr>
          <w:rFonts w:ascii="Calibri" w:hAnsi="Calibri" w:cs="Arial"/>
          <w:rtl/>
          <w:sz w:val="24"/>
          <w:szCs w:val="24"/>
        </w:rPr>
        <w:t xml:space="preserve"> يضعون الملصقات وفق التعليمات ويبلغون عن أي مواد غير موسومة أو مشكوك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مفتشو الجودة:</w:t>
      </w:r>
      <w:r>
        <w:rPr>
          <w:rFonts w:ascii="Calibri" w:hAnsi="Calibri" w:cs="Arial"/>
          <w:rtl/>
          <w:sz w:val="24"/>
          <w:szCs w:val="24"/>
        </w:rPr>
        <w:t xml:space="preserve"> يتحققون من التمييز وملصقات المنتج أثناء الفحص على خط الإنتاج والفحص النهائي.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OCS الأخضر:</w:t>
      </w:r>
      <w:r>
        <w:rPr>
          <w:rFonts w:ascii="Calibri" w:hAnsi="Calibri" w:cs="Arial"/>
          <w:rtl/>
          <w:sz w:val="24"/>
          <w:szCs w:val="24"/>
        </w:rPr>
        <w:t xml:space="preserve"> ملصق التمييز الداخلي المستخدم على اللفات والصناديق والحزم والعربات والكراتين العضوية، ويبين رقم الطلبية ورقم دفعة OCS ورقم شهادة المعاملة.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المنتج:</w:t>
      </w:r>
      <w:r>
        <w:rPr>
          <w:rFonts w:ascii="Calibri" w:hAnsi="Calibri" w:cs="Arial"/>
          <w:rtl/>
          <w:sz w:val="24"/>
          <w:szCs w:val="24"/>
        </w:rPr>
        <w:t xml:space="preserve"> ملصق العناية أو التركيب أو البطاقة المعلقة أو ملصق ادعاء OCS الذي يُثبت على الملبس وفق التصميم المعتمد من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تحقق من أن أمر الإنتاج موسوم بـ «OCS» وسجّل رقم دفعة OCS.</w:t>
      </w:r>
    </w:p>
    <w:p>
      <w:pPr>
        <w:pStyle w:val="ListeParagraf"/>
        <w:bidi/>
        <w:spacing w:after="80"/>
        <w:ind w:left="0" w:right="709"/>
        <w:jc w:val="both"/>
      </w:pPr>
      <w:r>
        <w:rPr>
          <w:rFonts w:ascii="Calibri" w:hAnsi="Calibri" w:cs="Arial"/>
          <w:rtl/>
          <w:sz w:val="24"/>
          <w:szCs w:val="24"/>
        </w:rPr>
        <w:t xml:space="preserve">1.2. استلم ملصقات OCS الخضراء وبطاقات الحزم وملصقات المنتج المعتمدة من منسق OCS، وقم بعدّها ووقّع سجل الصرف.</w:t>
      </w:r>
    </w:p>
    <w:p>
      <w:pPr>
        <w:pStyle w:val="ListeParagraf"/>
        <w:bidi/>
        <w:spacing w:after="80"/>
        <w:ind w:left="0" w:right="709"/>
        <w:jc w:val="both"/>
      </w:pPr>
      <w:r>
        <w:rPr>
          <w:rFonts w:ascii="Calibri" w:hAnsi="Calibri" w:cs="Arial"/>
          <w:rtl/>
          <w:sz w:val="24"/>
          <w:szCs w:val="24"/>
        </w:rPr>
        <w:t xml:space="preserve">1.3. نفّذ تفريغ الخط: أزل جميع المواد والملصقات والبقايا التقليدية من الآلة أو الطاولة أو الخط، وسجّل ذلك في سجل التبديل وتفريغ الخط (EMS.OR.FRM.21.03) باستخدام طريقة التنظيف الواردة في EMS.OR.TL.21.02.</w:t>
      </w:r>
    </w:p>
    <w:p>
      <w:pPr>
        <w:pStyle w:val="ListeParagraf"/>
        <w:bidi/>
        <w:spacing w:before="120" w:after="60"/>
        <w:ind w:left="0" w:right="709"/>
      </w:pPr>
      <w:r>
        <w:rPr>
          <w:rFonts w:ascii="Calibri" w:hAnsi="Calibri" w:cs="Arial"/>
          <w:b/>
          <w:bCs/>
          <w:rtl/>
          <w:sz w:val="24"/>
          <w:szCs w:val="24"/>
        </w:rPr>
        <w:t xml:space="preserve">2. التمييز أثناء الإنتاج</w:t>
      </w:r>
    </w:p>
    <w:p>
      <w:pPr>
        <w:pStyle w:val="ListeParagraf"/>
        <w:bidi/>
        <w:spacing w:after="80"/>
        <w:ind w:left="0" w:right="709"/>
        <w:jc w:val="both"/>
      </w:pPr>
      <w:r>
        <w:rPr>
          <w:rFonts w:ascii="Calibri" w:hAnsi="Calibri" w:cs="Arial"/>
          <w:rtl/>
          <w:sz w:val="24"/>
          <w:szCs w:val="24"/>
        </w:rPr>
        <w:t xml:space="preserve">2.1. المستودع: ضع ملصق OCS أخضر على كل كرتونة خيوط ولفة قماش، وخزّنها فقط في منطقة OCS المحددة.</w:t>
      </w:r>
    </w:p>
    <w:p>
      <w:pPr>
        <w:pStyle w:val="ListeParagraf"/>
        <w:bidi/>
        <w:spacing w:after="80"/>
        <w:ind w:left="0" w:right="709"/>
        <w:jc w:val="both"/>
      </w:pPr>
      <w:r>
        <w:rPr>
          <w:rFonts w:ascii="Calibri" w:hAnsi="Calibri" w:cs="Arial"/>
          <w:rtl/>
          <w:sz w:val="24"/>
          <w:szCs w:val="24"/>
        </w:rPr>
        <w:t xml:space="preserve">2.2. التريكو والصباغة: اكتب «OCS» ورقم الدفعة على كل ملصق لفة وبطاقة دفعة صباغة.</w:t>
      </w:r>
    </w:p>
    <w:p>
      <w:pPr>
        <w:pStyle w:val="ListeParagraf"/>
        <w:bidi/>
        <w:spacing w:after="80"/>
        <w:ind w:left="0" w:right="709"/>
        <w:jc w:val="both"/>
      </w:pPr>
      <w:r>
        <w:rPr>
          <w:rFonts w:ascii="Calibri" w:hAnsi="Calibri" w:cs="Arial"/>
          <w:rtl/>
          <w:sz w:val="24"/>
          <w:szCs w:val="24"/>
        </w:rPr>
        <w:t xml:space="preserve">2.3. القص والخياطة والطباعة والتطريز: استخدم بطاقات الحزم الخضراء، واحفظ حزم OCS على عربات أو رفوف منفصلة ومحددة.</w:t>
      </w:r>
    </w:p>
    <w:p>
      <w:pPr>
        <w:pStyle w:val="ListeParagraf"/>
        <w:bidi/>
        <w:spacing w:after="80"/>
        <w:ind w:left="0" w:right="709"/>
        <w:jc w:val="both"/>
      </w:pPr>
      <w:r>
        <w:rPr>
          <w:rFonts w:ascii="Calibri" w:hAnsi="Calibri" w:cs="Arial"/>
          <w:rtl/>
          <w:sz w:val="24"/>
          <w:szCs w:val="24"/>
        </w:rPr>
        <w:t xml:space="preserve">2.4. اجمع القصاصات والمرفوضات العضوية في أكياس ذات علامة خضراء وسجّل وزنها.</w:t>
      </w:r>
    </w:p>
    <w:p>
      <w:pPr>
        <w:pStyle w:val="ListeParagraf"/>
        <w:bidi/>
        <w:spacing w:after="80"/>
        <w:ind w:left="0" w:right="709"/>
        <w:jc w:val="both"/>
      </w:pPr>
      <w:r>
        <w:rPr>
          <w:rFonts w:ascii="Calibri" w:hAnsi="Calibri" w:cs="Arial"/>
          <w:rtl/>
          <w:sz w:val="24"/>
          <w:szCs w:val="24"/>
        </w:rPr>
        <w:t xml:space="preserve">2.5. التزم بنظام الألوان على لافتات المناطق وعلامات الأرضية والعربات: أخضر = منطقة منتج عضوي، أزرق = منطقة تقليدية، أصفر = انتظار أو حجر، أحمر = غير مطابق أو محظور. تُنقل المواد المشكوك في حالتها إلى منطقة صفراء حتى يتم فحصها.</w:t>
      </w:r>
    </w:p>
    <w:p>
      <w:pPr>
        <w:pStyle w:val="ListeParagraf"/>
        <w:bidi/>
        <w:spacing w:before="120" w:after="60"/>
        <w:ind w:left="0" w:right="709"/>
      </w:pPr>
      <w:r>
        <w:rPr>
          <w:rFonts w:ascii="Calibri" w:hAnsi="Calibri" w:cs="Arial"/>
          <w:b/>
          <w:bCs/>
          <w:rtl/>
          <w:sz w:val="24"/>
          <w:szCs w:val="24"/>
        </w:rPr>
        <w:t xml:space="preserve">3. توسيم المنتج والتعبئة</w:t>
      </w:r>
    </w:p>
    <w:p>
      <w:pPr>
        <w:pStyle w:val="ListeParagraf"/>
        <w:bidi/>
        <w:spacing w:after="80"/>
        <w:ind w:left="0" w:right="709"/>
        <w:jc w:val="both"/>
      </w:pPr>
      <w:r>
        <w:rPr>
          <w:rFonts w:ascii="Calibri" w:hAnsi="Calibri" w:cs="Arial"/>
          <w:rtl/>
          <w:sz w:val="24"/>
          <w:szCs w:val="24"/>
        </w:rPr>
        <w:t xml:space="preserve">3.1. استخدم فقط ملصقات المنتج الخاصة بالتصميم المعتمد؛ ويجب أن يطابق تركيب الألياف (مثل «95% قطن عضوي، 5% إيلاستين») الطلبية والملف الفني.</w:t>
      </w:r>
    </w:p>
    <w:p>
      <w:pPr>
        <w:pStyle w:val="ListeParagraf"/>
        <w:bidi/>
        <w:spacing w:after="80"/>
        <w:ind w:left="0" w:right="709"/>
        <w:jc w:val="both"/>
      </w:pPr>
      <w:r>
        <w:rPr>
          <w:rFonts w:ascii="Calibri" w:hAnsi="Calibri" w:cs="Arial"/>
          <w:rtl/>
          <w:sz w:val="24"/>
          <w:szCs w:val="24"/>
        </w:rPr>
        <w:t xml:space="preserve">3.2. لا يُستخدم شعار OCS أو ادعاؤه إلا عند اعتماده للطلبية من منسق OCS والعميل، ووفقًا لقواعد التوسيم في معيار OCS.</w:t>
      </w:r>
    </w:p>
    <w:p>
      <w:pPr>
        <w:pStyle w:val="ListeParagraf"/>
        <w:bidi/>
        <w:spacing w:after="80"/>
        <w:ind w:left="0" w:right="709"/>
        <w:jc w:val="both"/>
      </w:pPr>
      <w:r>
        <w:rPr>
          <w:rFonts w:ascii="Calibri" w:hAnsi="Calibri" w:cs="Arial"/>
          <w:rtl/>
          <w:sz w:val="24"/>
          <w:szCs w:val="24"/>
        </w:rPr>
        <w:t xml:space="preserve">3.3. ضع علامة «OCS» ورقم الطلبية على كل كرتونة وعلى قائمة التعبئة؛ ولا تعبئ ملابس OCS إلا في كراتين OCS.</w:t>
      </w:r>
    </w:p>
    <w:p>
      <w:pPr>
        <w:pStyle w:val="ListeParagraf"/>
        <w:bidi/>
        <w:spacing w:after="80"/>
        <w:ind w:left="0" w:right="709"/>
        <w:jc w:val="both"/>
      </w:pPr>
      <w:r>
        <w:rPr>
          <w:rFonts w:ascii="Calibri" w:hAnsi="Calibri" w:cs="Arial"/>
          <w:rtl/>
          <w:sz w:val="24"/>
          <w:szCs w:val="24"/>
        </w:rPr>
        <w:t xml:space="preserve">3.4. أعد جميع ملصقات المنتج غير المستخدمة إلى منسق OCS في نهاية الطلبية؛ حيث تُعدّ وتُسجل.</w:t>
      </w:r>
    </w:p>
    <w:p>
      <w:pPr>
        <w:pStyle w:val="ListeParagraf"/>
        <w:bidi/>
        <w:spacing w:after="80"/>
        <w:ind w:left="0" w:right="709"/>
        <w:jc w:val="both"/>
      </w:pPr>
      <w:r>
        <w:rPr>
          <w:rFonts w:ascii="Calibri" w:hAnsi="Calibri" w:cs="Arial"/>
          <w:rtl/>
          <w:sz w:val="24"/>
          <w:szCs w:val="24"/>
        </w:rPr>
        <w:t xml:space="preserve">3.5. قبل طباعة أي شعار عضوي أو رقم ترخيص أو ادعاء على ملصق أو بطاقة أو كرتونة، يحصل منسق OCS على موافقة خطية من جهة الاعتماد ويسجلها، مع صرف الملصقات واستخدامها وإرجاعها، في نموذج اعتماد الملصقات العضوية وصرفها (EMS.OR.FRM.21.05).</w:t>
      </w:r>
    </w:p>
    <w:p>
      <w:pPr>
        <w:pStyle w:val="ListeParagraf"/>
        <w:bidi/>
        <w:spacing w:after="80"/>
        <w:ind w:left="0" w:right="709"/>
        <w:jc w:val="both"/>
      </w:pPr>
      <w:r>
        <w:rPr>
          <w:rFonts w:ascii="Calibri" w:hAnsi="Calibri" w:cs="Arial"/>
          <w:rtl/>
          <w:sz w:val="24"/>
          <w:szCs w:val="24"/>
        </w:rPr>
        <w:t xml:space="preserve">3.6. استخدم درجة التوسيم المطابقة للمنتج: «عضوي» فقط عندما تكون 95% على الأقل من الألياف عضوية معتمدة، و«مصنوع من مواد عضوية» عندما تكون 70% على الأقل عضوية معتمدة، وفق ما اعتُمد للطلبية.</w:t>
      </w:r>
    </w:p>
    <w:p>
      <w:pPr>
        <w:pStyle w:val="ListeParagraf"/>
        <w:bidi/>
        <w:spacing w:before="120" w:after="60"/>
        <w:ind w:left="0" w:right="709"/>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على نفس المنصة أو العربة أو الطاولة أو الكرتونة.</w:t>
      </w:r>
    </w:p>
    <w:p>
      <w:pPr>
        <w:pStyle w:val="ListeParagraf"/>
        <w:numPr>
          <w:ilvl w:val="0"/>
          <w:numId w:val="1"/>
        </w:numPr>
        <w:bidi/>
        <w:spacing w:after="60"/>
        <w:jc w:val="both"/>
      </w:pPr>
      <w:r>
        <w:rPr>
          <w:rFonts w:ascii="Calibri" w:hAnsi="Calibri" w:cs="Arial"/>
          <w:rtl/>
          <w:sz w:val="24"/>
          <w:szCs w:val="24"/>
        </w:rPr>
        <w:t xml:space="preserve">لا تضع ملصقًا عضويًا أو ملصق OCS على أي منتج ليس جزءًا من طلبية OCS معتمدة.</w:t>
      </w:r>
    </w:p>
    <w:p>
      <w:pPr>
        <w:pStyle w:val="ListeParagraf"/>
        <w:numPr>
          <w:ilvl w:val="0"/>
          <w:numId w:val="1"/>
        </w:numPr>
        <w:bidi/>
        <w:spacing w:after="60"/>
        <w:jc w:val="both"/>
      </w:pPr>
      <w:r>
        <w:rPr>
          <w:rFonts w:ascii="Calibri" w:hAnsi="Calibri" w:cs="Arial"/>
          <w:rtl/>
          <w:sz w:val="24"/>
          <w:szCs w:val="24"/>
        </w:rPr>
        <w:t xml:space="preserve">لا تُزل ملصق OCS الأخضر أو تغطِّه أو تغيّره.</w:t>
      </w:r>
    </w:p>
    <w:p>
      <w:pPr>
        <w:pStyle w:val="ListeParagraf"/>
        <w:bidi/>
        <w:spacing w:before="120" w:after="60"/>
        <w:ind w:left="0" w:right="709"/>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إذا كانت المادة بدون ملصق أو كانت حالتها مشكوكًا فيها، أوقف العمل وضعها في منطقة الحجر وأبلغ منسق OCS؛ وتُعامل كمادة تقليدية حتى يتم التحقق منها.</w:t>
      </w:r>
    </w:p>
    <w:p>
      <w:pPr>
        <w:pStyle w:val="ListeParagraf"/>
        <w:bidi/>
        <w:spacing w:after="80"/>
        <w:ind w:left="0" w:right="709"/>
        <w:jc w:val="both"/>
      </w:pPr>
      <w:r>
        <w:rPr>
          <w:rFonts w:ascii="Calibri" w:hAnsi="Calibri" w:cs="Arial"/>
          <w:rtl/>
          <w:sz w:val="24"/>
          <w:szCs w:val="24"/>
        </w:rPr>
        <w:t xml:space="preserve">5.2. إذا وُجد ملصق خاطئ، أوقف التعبئة وأزل الملصقات وأبلغ قسم الجودة وسجّل حالة عدم مطابقة.</w:t>
      </w: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EMS.OR.FRM.21.03. سجل التبديل وتفريغ الخط</w:t>
      </w:r>
    </w:p>
    <w:p>
      <w:pPr>
        <w:pStyle w:val="ListeParagraf"/>
        <w:numPr>
          <w:ilvl w:val="0"/>
          <w:numId w:val="1"/>
        </w:numPr>
        <w:bidi/>
        <w:spacing w:after="60"/>
        <w:jc w:val="both"/>
      </w:pPr>
      <w:r>
        <w:rPr>
          <w:rFonts w:ascii="Calibri" w:hAnsi="Calibri" w:cs="Arial"/>
          <w:rtl/>
          <w:sz w:val="24"/>
          <w:szCs w:val="24"/>
        </w:rPr>
        <w:t xml:space="preserve">EMS.OR.FRM.21.05. نموذج اعتماد الملصقات العضوية وصرفها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وتفريغ الخط في الإنتاج العضوي</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EMS.QA.PRO.02.06. إجراء الإبلاغ عن عدم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يتحقق منسق OCS من تطبيق هذه التعليمات شهريًا وأثناء التدقيق الداخلي السنوي لمعيار OCS. وتُراجع التعليمات سنويًا أو عند تغير معيار OCS أو متطلبات التوسيم لدى العملاء.</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PRODUCT IDENTIFICATION AND LABELLING INSTRUCTION</w:t>
          </w:r>
        </w:p>
        <w:p>
          <w:pPr>
            <w:pStyle w:val="GvdeMetni2"/>
            <w:bidi/>
            <w:spacing w:line="276" w:lineRule="auto"/>
            <w:jc w:val="center"/>
          </w:pPr>
          <w:r>
            <w:rPr>
              <w:rFonts w:asciiTheme="minorHAnsi" w:hAnsiTheme="minorHAnsi" w:cs="Arial"/>
              <w:b/>
              <w:bCs/>
              <w:color w:val="000000" w:themeColor="text1"/>
              <w:sz w:val="22"/>
              <w:szCs w:val="22"/>
              <w:rtl/>
            </w:rPr>
            <w:t>تعليمات تمييز المنتجات العضوية وتوسيمها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19.10.2026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