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new suppliers and subcontractors are evaluated and approved, and how the performance of existing suppliers and subcontractors is monitored and re-evaluated at Eroglu Knitting (EMS), covering quality, delivery, environmental, chemical and social compliance criteria. It ensures that EMS works only with evaluated and approved suppliers and that externally provided processes, products and services remain under control (ISO 9001:2015, clause 8.4).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suppliers of materials, chemicals and services and all subcontractors carrying out production processes (printing, embroidery, washing, knitting or sewing) for EMS. Customer-nominated suppliers are included in performance monitoring. Raw material, semi-finished, trim and service suppliers are all evaluated under this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Manager:</w:t>
      </w:r>
      <w:r>
        <w:rPr>
          <w:rFonts w:ascii="Calibri" w:hAnsi="Calibri" w:cs="Arial"/>
          <w:sz w:val="24"/>
          <w:szCs w:val="24"/>
        </w:rPr>
        <w:t xml:space="preserve"> Coordinates the evaluation, maintains the Approved Supplier List and shares results with suppliers.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Evaluates quality systems, product quality and delivery inspection results; requests and closes supplier 8D reports.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CSR and Compliance Team:</w:t>
      </w:r>
      <w:r>
        <w:rPr>
          <w:rFonts w:ascii="Calibri" w:hAnsi="Calibri" w:cs="Arial"/>
          <w:sz w:val="24"/>
          <w:szCs w:val="24"/>
        </w:rPr>
        <w:t xml:space="preserve"> Evaluates social compliance, health and safety and environmental performance, and carries out subcontractor audits.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Manager:</w:t>
      </w:r>
      <w:r>
        <w:rPr>
          <w:rFonts w:ascii="Calibri" w:hAnsi="Calibri" w:cs="Arial"/>
          <w:sz w:val="24"/>
          <w:szCs w:val="24"/>
        </w:rPr>
        <w:t xml:space="preserve"> Evaluates chemical suppliers for ZDHC MRSL conformity, SDS and certificates.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and Warehouse:</w:t>
      </w:r>
      <w:r>
        <w:rPr>
          <w:rFonts w:ascii="Calibri" w:hAnsi="Calibri" w:cs="Arial"/>
          <w:sz w:val="24"/>
          <w:szCs w:val="24"/>
        </w:rPr>
        <w:t xml:space="preserve"> Provide incoming test results and receiving records (accepted and rejected lots) for each supplier.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w:t>
      </w:r>
      <w:r>
        <w:rPr>
          <w:rFonts w:ascii="Calibri" w:hAnsi="Calibri" w:cs="Arial"/>
          <w:sz w:val="24"/>
          <w:szCs w:val="24"/>
        </w:rPr>
        <w:t xml:space="preserve"> Monitors delivery performance and reports delays.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new critical suppliers, urgent exceptions and decisions to remove suppliers from the 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Supplier:</w:t>
      </w:r>
      <w:r>
        <w:rPr>
          <w:rFonts w:ascii="Calibri" w:hAnsi="Calibri" w:cs="Arial"/>
          <w:sz w:val="24"/>
          <w:szCs w:val="24"/>
        </w:rPr>
        <w:t xml:space="preserve"> A supplier or subcontractor whose product or service directly affects product quality, product safety, chemical compliance or delivery to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Supplier Score:</w:t>
      </w:r>
      <w:r>
        <w:rPr>
          <w:rFonts w:ascii="Calibri" w:hAnsi="Calibri" w:cs="Arial"/>
          <w:sz w:val="24"/>
          <w:szCs w:val="24"/>
        </w:rPr>
        <w:t xml:space="preserve"> The performance score calculated for each supplier from quality, delivery, compliance and service criteria.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Unauthorised Subcontracting:</w:t>
      </w:r>
      <w:r>
        <w:rPr>
          <w:rFonts w:ascii="Calibri" w:hAnsi="Calibri" w:cs="Arial"/>
          <w:sz w:val="24"/>
          <w:szCs w:val="24"/>
        </w:rPr>
        <w:t xml:space="preserve"> Giving any part of production to a facility that is not approved by EMS and, where required, by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OTIF:</w:t>
      </w:r>
      <w:r>
        <w:rPr>
          <w:rFonts w:ascii="Calibri" w:hAnsi="Calibri" w:cs="Arial"/>
          <w:sz w:val="24"/>
          <w:szCs w:val="24"/>
        </w:rPr>
        <w:t xml:space="preserve"> On-time and in-full delivery rate.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PPM:</w:t>
      </w:r>
      <w:r>
        <w:rPr>
          <w:rFonts w:ascii="Calibri" w:hAnsi="Calibri" w:cs="Arial"/>
          <w:sz w:val="24"/>
          <w:szCs w:val="24"/>
        </w:rPr>
        <w:t xml:space="preserve"> Defective parts per million delivered.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Conditional Approval:</w:t>
      </w:r>
      <w:r>
        <w:rPr>
          <w:rFonts w:ascii="Calibri" w:hAnsi="Calibri" w:cs="Arial"/>
          <w:sz w:val="24"/>
          <w:szCs w:val="24"/>
        </w:rPr>
        <w:t xml:space="preserve"> A temporary approval given with a defined improvement condition and deadline.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8D Report:</w:t>
      </w:r>
      <w:r>
        <w:rPr>
          <w:rFonts w:ascii="Calibri" w:hAnsi="Calibri" w:cs="Arial"/>
          <w:sz w:val="24"/>
          <w:szCs w:val="24"/>
        </w:rPr>
        <w:t xml:space="preserve"> The structured supplier response to a nonconformity, including containment, root cause and corrective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EVALUATION OF NEW SUPPLIERS AND SUBCONTRACTORS</w:t>
      </w:r>
    </w:p>
    <w:p>
      <w:pPr>
        <w:pStyle w:val="ListeParagraf"/>
        <w:spacing w:after="80"/>
        <w:ind w:left="709" w:right="0"/>
        <w:jc w:val="both"/>
      </w:pPr>
      <w:r>
        <w:rPr>
          <w:rFonts w:ascii="Calibri" w:hAnsi="Calibri" w:cs="Arial"/>
          <w:sz w:val="24"/>
          <w:szCs w:val="24"/>
        </w:rPr>
        <w:t xml:space="preserve">1.1. A new supplier is first assessed through the Supplier Evaluation Questionnaire (FRM-SAT-01), which covers company information, capacity, certificates (ISO 9001, ISO 14001, GRS, RCS, OCS, OEKO-TEX), quality system, references and social compliance status (TLM-SAT-01).</w:t>
      </w:r>
    </w:p>
    <w:p>
      <w:pPr>
        <w:pStyle w:val="ListeParagraf"/>
        <w:spacing w:after="80"/>
        <w:ind w:left="709" w:right="0"/>
        <w:jc w:val="both"/>
      </w:pPr>
      <w:r>
        <w:rPr>
          <w:rFonts w:ascii="Calibri" w:hAnsi="Calibri" w:cs="Arial"/>
          <w:sz w:val="24"/>
          <w:szCs w:val="24"/>
        </w:rPr>
        <w:t xml:space="preserve">1.2. The supplier signs the EMS Supplier Code of Conduct and the anti-bribery declaration.</w:t>
      </w:r>
    </w:p>
    <w:p>
      <w:pPr>
        <w:pStyle w:val="ListeParagraf"/>
        <w:spacing w:after="80"/>
        <w:ind w:left="709" w:right="0"/>
        <w:jc w:val="both"/>
      </w:pPr>
      <w:r>
        <w:rPr>
          <w:rFonts w:ascii="Calibri" w:hAnsi="Calibri" w:cs="Arial"/>
          <w:sz w:val="24"/>
          <w:szCs w:val="24"/>
        </w:rPr>
        <w:t xml:space="preserve">1.3. Chemical suppliers provide SDS, technical data sheets and ZDHC MRSL conformity evidence for each product.</w:t>
      </w:r>
    </w:p>
    <w:p>
      <w:pPr>
        <w:pStyle w:val="ListeParagraf"/>
        <w:spacing w:after="80"/>
        <w:ind w:left="709" w:right="0"/>
        <w:jc w:val="both"/>
      </w:pPr>
      <w:r>
        <w:rPr>
          <w:rFonts w:ascii="Calibri" w:hAnsi="Calibri" w:cs="Arial"/>
          <w:sz w:val="24"/>
          <w:szCs w:val="24"/>
        </w:rPr>
        <w:t xml:space="preserve">1.4. Critical suppliers and all subcontractors are audited on site before approval. The audit covers:</w:t>
      </w:r>
    </w:p>
    <w:p>
      <w:pPr>
        <w:pStyle w:val="ListeParagraf"/>
        <w:numPr>
          <w:ilvl w:val="0"/>
          <w:numId w:val="1"/>
        </w:numPr>
        <w:spacing w:after="60"/>
        <w:jc w:val="both"/>
      </w:pPr>
      <w:r>
        <w:rPr>
          <w:rFonts w:ascii="Calibri" w:hAnsi="Calibri" w:cs="Arial"/>
          <w:sz w:val="24"/>
          <w:szCs w:val="24"/>
        </w:rPr>
        <w:t xml:space="preserve">Quality system, production capacity and product inspection,</w:t>
      </w:r>
    </w:p>
    <w:p>
      <w:pPr>
        <w:pStyle w:val="ListeParagraf"/>
        <w:numPr>
          <w:ilvl w:val="0"/>
          <w:numId w:val="1"/>
        </w:numPr>
        <w:spacing w:after="60"/>
        <w:jc w:val="both"/>
      </w:pPr>
      <w:r>
        <w:rPr>
          <w:rFonts w:ascii="Calibri" w:hAnsi="Calibri" w:cs="Arial"/>
          <w:sz w:val="24"/>
          <w:szCs w:val="24"/>
        </w:rPr>
        <w:t xml:space="preserve">Working conditions, working hours, wages, age verification and no forced labour,</w:t>
      </w:r>
    </w:p>
    <w:p>
      <w:pPr>
        <w:pStyle w:val="ListeParagraf"/>
        <w:numPr>
          <w:ilvl w:val="0"/>
          <w:numId w:val="1"/>
        </w:numPr>
        <w:spacing w:after="60"/>
        <w:jc w:val="both"/>
      </w:pPr>
      <w:r>
        <w:rPr>
          <w:rFonts w:ascii="Calibri" w:hAnsi="Calibri" w:cs="Arial"/>
          <w:sz w:val="24"/>
          <w:szCs w:val="24"/>
        </w:rPr>
        <w:t xml:space="preserve">Fire safety, building safety, health and safety and chemical storage,</w:t>
      </w:r>
    </w:p>
    <w:p>
      <w:pPr>
        <w:pStyle w:val="ListeParagraf"/>
        <w:numPr>
          <w:ilvl w:val="0"/>
          <w:numId w:val="1"/>
        </w:numPr>
        <w:spacing w:after="60"/>
        <w:jc w:val="both"/>
      </w:pPr>
      <w:r>
        <w:rPr>
          <w:rFonts w:ascii="Calibri" w:hAnsi="Calibri" w:cs="Arial"/>
          <w:sz w:val="24"/>
          <w:szCs w:val="24"/>
        </w:rPr>
        <w:t xml:space="preserve">Environmental permits, waste and wastewater management, and security of goods.</w:t>
      </w:r>
    </w:p>
    <w:p>
      <w:pPr>
        <w:pStyle w:val="ListeParagraf"/>
        <w:spacing w:after="80"/>
        <w:ind w:left="709" w:right="0"/>
        <w:jc w:val="both"/>
      </w:pPr>
      <w:r>
        <w:rPr>
          <w:rFonts w:ascii="Calibri" w:hAnsi="Calibri" w:cs="Arial"/>
          <w:sz w:val="24"/>
          <w:szCs w:val="24"/>
        </w:rPr>
        <w:t xml:space="preserve">1.5. Samples or a trial order are evaluated by Quality Assurance where needed.</w:t>
      </w:r>
    </w:p>
    <w:p>
      <w:pPr>
        <w:pStyle w:val="ListeParagraf"/>
        <w:spacing w:after="80"/>
        <w:ind w:left="709" w:right="0"/>
        <w:jc w:val="both"/>
      </w:pPr>
      <w:r>
        <w:rPr>
          <w:rFonts w:ascii="Calibri" w:hAnsi="Calibri" w:cs="Arial"/>
          <w:sz w:val="24"/>
          <w:szCs w:val="24"/>
        </w:rPr>
        <w:t xml:space="preserve">1.6. Based on the results, Quality Assurance and Purchasing decide together: the supplier is approved, conditionally approved with a corrective action plan, or rejected; approved suppliers are added to the Approved Supplier List (FRM-TED-01; TLM-TED-01).</w:t>
      </w:r>
    </w:p>
    <w:p>
      <w:pPr>
        <w:pStyle w:val="ListeParagraf"/>
        <w:spacing w:after="80"/>
        <w:ind w:left="709" w:right="0"/>
        <w:jc w:val="both"/>
      </w:pPr>
      <w:r>
        <w:rPr>
          <w:rFonts w:ascii="Calibri" w:hAnsi="Calibri" w:cs="Arial"/>
          <w:sz w:val="24"/>
          <w:szCs w:val="24"/>
        </w:rPr>
        <w:t xml:space="preserve">1.7. No order is placed with a supplier that is not on the list; an urgent exception requires General Manager approval and additional incoming inspection.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SUBCONTRACTOR CONTROL</w:t>
      </w:r>
    </w:p>
    <w:p>
      <w:pPr>
        <w:pStyle w:val="ListeParagraf"/>
        <w:spacing w:after="80"/>
        <w:ind w:left="709" w:right="0"/>
        <w:jc w:val="both"/>
      </w:pPr>
      <w:r>
        <w:rPr>
          <w:rFonts w:ascii="Calibri" w:hAnsi="Calibri" w:cs="Arial"/>
          <w:sz w:val="24"/>
          <w:szCs w:val="24"/>
        </w:rPr>
        <w:t xml:space="preserve">2.1. Work is given only to approved subcontractors; the customer is informed and its approval is obtained where the customer requires it.</w:t>
      </w:r>
    </w:p>
    <w:p>
      <w:pPr>
        <w:pStyle w:val="ListeParagraf"/>
        <w:spacing w:after="80"/>
        <w:ind w:left="709" w:right="0"/>
        <w:jc w:val="both"/>
      </w:pPr>
      <w:r>
        <w:rPr>
          <w:rFonts w:ascii="Calibri" w:hAnsi="Calibri" w:cs="Arial"/>
          <w:sz w:val="24"/>
          <w:szCs w:val="24"/>
        </w:rPr>
        <w:t xml:space="preserve">2.2. Goods sent to and received from subcontractors are recorded with quantity and order details to keep traceability.</w:t>
      </w:r>
    </w:p>
    <w:p>
      <w:pPr>
        <w:pStyle w:val="ListeParagraf"/>
        <w:spacing w:after="80"/>
        <w:ind w:left="709" w:right="0"/>
        <w:jc w:val="both"/>
      </w:pPr>
      <w:r>
        <w:rPr>
          <w:rFonts w:ascii="Calibri" w:hAnsi="Calibri" w:cs="Arial"/>
          <w:sz w:val="24"/>
          <w:szCs w:val="24"/>
        </w:rPr>
        <w:t xml:space="preserve">2.3. Unannounced visits are made to subcontractors during production to check quality and working conditions.</w:t>
      </w:r>
    </w:p>
    <w:p>
      <w:pPr>
        <w:pStyle w:val="ListeParagraf"/>
        <w:spacing w:after="80"/>
        <w:ind w:left="709" w:right="0"/>
        <w:jc w:val="both"/>
      </w:pPr>
      <w:r>
        <w:rPr>
          <w:rFonts w:ascii="Calibri" w:hAnsi="Calibri" w:cs="Arial"/>
          <w:sz w:val="24"/>
          <w:szCs w:val="24"/>
        </w:rPr>
        <w:t xml:space="preserve">2.4. Detailed control of the outsourced process is carried out according to EMS.SA.PRO.04.04.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INCOMING INSPECTION HISTORY AND SUPPLIER REQUIREMENTS</w:t>
      </w:r>
    </w:p>
    <w:p>
      <w:pPr>
        <w:pStyle w:val="ListeParagraf"/>
        <w:spacing w:after="80"/>
        <w:ind w:left="709" w:right="0"/>
        <w:jc w:val="both"/>
      </w:pPr>
      <w:r>
        <w:rPr>
          <w:rFonts w:ascii="Calibri" w:hAnsi="Calibri" w:cs="Arial"/>
          <w:sz w:val="24"/>
          <w:szCs w:val="24"/>
        </w:rPr>
        <w:t xml:space="preserve">3.1. Purchase orders clearly state the specification, testing requirement, restricted substance requirement, packaging, labelling and delivery date; customer-defined requirements (approved chemicals, certified material) are communicated to the supplier in writing (EMS.SA.PRO.04.02).</w:t>
      </w:r>
    </w:p>
    <w:p>
      <w:pPr>
        <w:pStyle w:val="ListeParagraf"/>
        <w:spacing w:after="80"/>
        <w:ind w:left="709" w:right="0"/>
        <w:jc w:val="both"/>
      </w:pPr>
      <w:r>
        <w:rPr>
          <w:rFonts w:ascii="Calibri" w:hAnsi="Calibri" w:cs="Arial"/>
          <w:sz w:val="24"/>
          <w:szCs w:val="24"/>
        </w:rPr>
        <w:t xml:space="preserve">3.2. Product certificates and test reports are requested with each delivery where required.</w:t>
      </w:r>
    </w:p>
    <w:p>
      <w:pPr>
        <w:pStyle w:val="ListeParagraf"/>
        <w:spacing w:after="80"/>
        <w:ind w:left="709" w:right="0"/>
        <w:jc w:val="both"/>
      </w:pPr>
      <w:r>
        <w:rPr>
          <w:rFonts w:ascii="Calibri" w:hAnsi="Calibri" w:cs="Arial"/>
          <w:sz w:val="24"/>
          <w:szCs w:val="24"/>
        </w:rPr>
        <w:t xml:space="preserve">3.3. Every delivery is checked according to the warehouse and laboratory procedures; accepted and rejected results are recorded per supplier. Yarn inputs are evaluated with the Yarn Inspection Input Control and Supplier Evaluation Form (EMS.QA.FRM.07.19).</w:t>
      </w:r>
    </w:p>
    <w:p>
      <w:pPr>
        <w:pStyle w:val="ListeParagraf"/>
        <w:spacing w:after="80"/>
        <w:ind w:left="709" w:right="0"/>
        <w:jc w:val="both"/>
      </w:pPr>
      <w:r>
        <w:rPr>
          <w:rFonts w:ascii="Calibri" w:hAnsi="Calibri" w:cs="Arial"/>
          <w:sz w:val="24"/>
          <w:szCs w:val="24"/>
        </w:rPr>
        <w:t xml:space="preserve">3.4. Nonconforming lots are labelled and quarantined; Quality Assurance decides rejection, conditional acceptance or return.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PERFORMANCE MONITORING</w:t>
      </w:r>
    </w:p>
    <w:p>
      <w:pPr>
        <w:pStyle w:val="ListeParagraf"/>
        <w:spacing w:after="80"/>
        <w:ind w:left="709" w:right="0"/>
        <w:jc w:val="both"/>
      </w:pPr>
      <w:r>
        <w:rPr>
          <w:rFonts w:ascii="Calibri" w:hAnsi="Calibri" w:cs="Arial"/>
          <w:sz w:val="24"/>
          <w:szCs w:val="24"/>
        </w:rPr>
        <w:t xml:space="preserve">4.1. Supplier performance is evaluated every six months (critical suppliers) or every year (other suppliers); critical suppliers are scored quarterly from the receiving records (TLM-TED-02; TLM-SAT-04). The criteria are:</w:t>
      </w:r>
    </w:p>
    <w:p>
      <w:pPr>
        <w:pStyle w:val="ListeParagraf"/>
        <w:numPr>
          <w:ilvl w:val="0"/>
          <w:numId w:val="1"/>
        </w:numPr>
        <w:spacing w:after="60"/>
        <w:jc w:val="both"/>
      </w:pPr>
      <w:r>
        <w:rPr>
          <w:rFonts w:ascii="Calibri" w:hAnsi="Calibri" w:cs="Arial"/>
          <w:sz w:val="24"/>
          <w:szCs w:val="24"/>
        </w:rPr>
        <w:t xml:space="preserve">Quality: rejected deliveries and complaints, lot acceptance rate and PPM (40%),</w:t>
      </w:r>
    </w:p>
    <w:p>
      <w:pPr>
        <w:pStyle w:val="ListeParagraf"/>
        <w:numPr>
          <w:ilvl w:val="0"/>
          <w:numId w:val="1"/>
        </w:numPr>
        <w:spacing w:after="60"/>
        <w:jc w:val="both"/>
      </w:pPr>
      <w:r>
        <w:rPr>
          <w:rFonts w:ascii="Calibri" w:hAnsi="Calibri" w:cs="Arial"/>
          <w:sz w:val="24"/>
          <w:szCs w:val="24"/>
        </w:rPr>
        <w:t xml:space="preserve">Delivery: on-time and complete delivery, OTIF (30%),</w:t>
      </w:r>
    </w:p>
    <w:p>
      <w:pPr>
        <w:pStyle w:val="ListeParagraf"/>
        <w:numPr>
          <w:ilvl w:val="0"/>
          <w:numId w:val="1"/>
        </w:numPr>
        <w:spacing w:after="60"/>
        <w:jc w:val="both"/>
      </w:pPr>
      <w:r>
        <w:rPr>
          <w:rFonts w:ascii="Calibri" w:hAnsi="Calibri" w:cs="Arial"/>
          <w:sz w:val="24"/>
          <w:szCs w:val="24"/>
        </w:rPr>
        <w:t xml:space="preserve">Compliance: social, environmental and chemical compliance, certificate validity and audit findings (20%),</w:t>
      </w:r>
    </w:p>
    <w:p>
      <w:pPr>
        <w:pStyle w:val="ListeParagraf"/>
        <w:numPr>
          <w:ilvl w:val="0"/>
          <w:numId w:val="1"/>
        </w:numPr>
        <w:spacing w:after="60"/>
        <w:jc w:val="both"/>
      </w:pPr>
      <w:r>
        <w:rPr>
          <w:rFonts w:ascii="Calibri" w:hAnsi="Calibri" w:cs="Arial"/>
          <w:sz w:val="24"/>
          <w:szCs w:val="24"/>
        </w:rPr>
        <w:t xml:space="preserve">Service: communication, flexibility and response to problems (10%).</w:t>
      </w:r>
    </w:p>
    <w:p>
      <w:pPr>
        <w:pStyle w:val="ListeParagraf"/>
        <w:spacing w:after="80"/>
        <w:ind w:left="709" w:right="0"/>
        <w:jc w:val="both"/>
      </w:pPr>
      <w:r>
        <w:rPr>
          <w:rFonts w:ascii="Calibri" w:hAnsi="Calibri" w:cs="Arial"/>
          <w:sz w:val="24"/>
          <w:szCs w:val="24"/>
        </w:rPr>
        <w:t xml:space="preserve">4.2. Suppliers are classified according to their score: A (85-100) preferred, B (70-84) approved, C (50-69) improvement plan required, D (below 50) removed from the list.</w:t>
      </w:r>
    </w:p>
    <w:p>
      <w:pPr>
        <w:pStyle w:val="ListeParagraf"/>
        <w:spacing w:after="80"/>
        <w:ind w:left="709" w:right="0"/>
        <w:jc w:val="both"/>
      </w:pPr>
      <w:r>
        <w:rPr>
          <w:rFonts w:ascii="Calibri" w:hAnsi="Calibri" w:cs="Arial"/>
          <w:sz w:val="24"/>
          <w:szCs w:val="24"/>
        </w:rPr>
        <w:t xml:space="preserve">4.3. The result of each evaluation is recorded on the Supplier Performance Form (FRM-SAT-04) and shared with the supplier.</w:t>
      </w:r>
    </w:p>
    <w:p>
      <w:pPr>
        <w:pStyle w:val="ListeParagraf"/>
        <w:spacing w:after="80"/>
        <w:ind w:left="709" w:right="0"/>
        <w:jc w:val="both"/>
      </w:pPr>
      <w:r>
        <w:rPr>
          <w:rFonts w:ascii="Calibri" w:hAnsi="Calibri" w:cs="Arial"/>
          <w:sz w:val="24"/>
          <w:szCs w:val="24"/>
        </w:rPr>
        <w:t xml:space="preserve">4.4. Each approved supplier is re-evaluated at least once a year from score history, certificate validity and, where needed, an audit; a supplier whose certificate has expired is kept in conditional status until it is renewed.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CORRECTIVE ACTIONS AND DEVELOPMENT</w:t>
      </w:r>
    </w:p>
    <w:p>
      <w:pPr>
        <w:pStyle w:val="ListeParagraf"/>
        <w:spacing w:after="80"/>
        <w:ind w:left="709" w:right="0"/>
        <w:jc w:val="both"/>
      </w:pPr>
      <w:r>
        <w:rPr>
          <w:rFonts w:ascii="Calibri" w:hAnsi="Calibri" w:cs="Arial"/>
          <w:sz w:val="24"/>
          <w:szCs w:val="24"/>
        </w:rPr>
        <w:t xml:space="preserve">5.1. Suppliers in class C, suppliers with a rejected lot, and suppliers with critical audit findings are asked to submit a corrective action plan; the Supplier CAPA Request Form (FRM-TED-02) is sent and an 8D report is requested (TLM-TED-03).</w:t>
      </w:r>
    </w:p>
    <w:p>
      <w:pPr>
        <w:pStyle w:val="ListeParagraf"/>
        <w:spacing w:after="80"/>
        <w:ind w:left="709" w:right="0"/>
        <w:jc w:val="both"/>
      </w:pPr>
      <w:r>
        <w:rPr>
          <w:rFonts w:ascii="Calibri" w:hAnsi="Calibri" w:cs="Arial"/>
          <w:sz w:val="24"/>
          <w:szCs w:val="24"/>
        </w:rPr>
        <w:t xml:space="preserve">5.2. The supplier gives the first response (containment) within 24 hours and submits the root cause and corrective action within 30 days at the latest (10 working days for product nonconformities); the report is reviewed by Quality Assurance and, if inadequate, requested again.</w:t>
      </w:r>
    </w:p>
    <w:p>
      <w:pPr>
        <w:pStyle w:val="ListeParagraf"/>
        <w:spacing w:after="80"/>
        <w:ind w:left="709" w:right="0"/>
        <w:jc w:val="both"/>
      </w:pPr>
      <w:r>
        <w:rPr>
          <w:rFonts w:ascii="Calibri" w:hAnsi="Calibri" w:cs="Arial"/>
          <w:sz w:val="24"/>
          <w:szCs w:val="24"/>
        </w:rPr>
        <w:t xml:space="preserve">5.3. Effectiveness is verified on the following three consecutive lots, by follow-up audit or by evidence review; until then the case is not closed (EMS.KS.PRO.22.03).</w:t>
      </w:r>
    </w:p>
    <w:p>
      <w:pPr>
        <w:pStyle w:val="ListeParagraf"/>
        <w:spacing w:after="80"/>
        <w:ind w:left="709" w:right="0"/>
        <w:jc w:val="both"/>
      </w:pPr>
      <w:r>
        <w:rPr>
          <w:rFonts w:ascii="Calibri" w:hAnsi="Calibri" w:cs="Arial"/>
          <w:sz w:val="24"/>
          <w:szCs w:val="24"/>
        </w:rPr>
        <w:t xml:space="preserve">5.4. In case of zero-tolerance findings (child labour, forced labour, unauthorised subcontracting, bribery or serious safety risk), orders are stopped immediately and the case is reported to the General Manager and, where required, to the customer.</w:t>
      </w:r>
    </w:p>
    <w:p>
      <w:pPr>
        <w:pStyle w:val="ListeParagraf"/>
        <w:spacing w:after="80"/>
        <w:ind w:left="709" w:right="0"/>
        <w:jc w:val="both"/>
      </w:pPr>
      <w:r>
        <w:rPr>
          <w:rFonts w:ascii="Calibri" w:hAnsi="Calibri" w:cs="Arial"/>
          <w:sz w:val="24"/>
          <w:szCs w:val="24"/>
        </w:rPr>
        <w:t xml:space="preserve">5.5. Where the nonconformity affects EMS products already produced, the affected products are traced, segregated and handled according to EMS.KS.PRO.22.02.</w:t>
      </w:r>
    </w:p>
    <w:p>
      <w:pPr>
        <w:pStyle w:val="ListeParagraf"/>
        <w:spacing w:after="80"/>
        <w:ind w:left="709" w:right="0"/>
        <w:jc w:val="both"/>
      </w:pPr>
      <w:r>
        <w:rPr>
          <w:rFonts w:ascii="Calibri" w:hAnsi="Calibri" w:cs="Arial"/>
          <w:sz w:val="24"/>
          <w:szCs w:val="24"/>
        </w:rPr>
        <w:t xml:space="preserve">5.6. Repeated nonconformities lead to extra inspection, on-site audit, development of an alternative source or removal from the Approved Supplier List; good performers are given priority in new orders.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Purchasing Manager reports the following indicators every year (critical suppliers: every six months) in the management review:</w:t>
      </w:r>
    </w:p>
    <w:p>
      <w:pPr>
        <w:pStyle w:val="ListeParagraf"/>
        <w:numPr>
          <w:ilvl w:val="0"/>
          <w:numId w:val="1"/>
        </w:numPr>
        <w:spacing w:after="60"/>
        <w:jc w:val="both"/>
      </w:pPr>
      <w:r>
        <w:rPr>
          <w:rFonts w:ascii="Calibri" w:hAnsi="Calibri" w:cs="Arial"/>
          <w:sz w:val="24"/>
          <w:szCs w:val="24"/>
        </w:rPr>
        <w:t xml:space="preserve">Percentage of critical suppliers evaluated and audited on time (%),</w:t>
      </w:r>
    </w:p>
    <w:p>
      <w:pPr>
        <w:pStyle w:val="ListeParagraf"/>
        <w:numPr>
          <w:ilvl w:val="0"/>
          <w:numId w:val="1"/>
        </w:numPr>
        <w:spacing w:after="60"/>
        <w:jc w:val="both"/>
      </w:pPr>
      <w:r>
        <w:rPr>
          <w:rFonts w:ascii="Calibri" w:hAnsi="Calibri" w:cs="Arial"/>
          <w:sz w:val="24"/>
          <w:szCs w:val="24"/>
        </w:rPr>
        <w:t xml:space="preserve">Suppliers without annual evaluation (target: 0),</w:t>
      </w:r>
    </w:p>
    <w:p>
      <w:pPr>
        <w:pStyle w:val="ListeParagraf"/>
        <w:numPr>
          <w:ilvl w:val="0"/>
          <w:numId w:val="1"/>
        </w:numPr>
        <w:spacing w:after="60"/>
        <w:jc w:val="both"/>
      </w:pPr>
      <w:r>
        <w:rPr>
          <w:rFonts w:ascii="Calibri" w:hAnsi="Calibri" w:cs="Arial"/>
          <w:sz w:val="24"/>
          <w:szCs w:val="24"/>
        </w:rPr>
        <w:t xml:space="preserve">Purchases from non-approved suppliers (target: 0),</w:t>
      </w:r>
    </w:p>
    <w:p>
      <w:pPr>
        <w:pStyle w:val="ListeParagraf"/>
        <w:numPr>
          <w:ilvl w:val="0"/>
          <w:numId w:val="1"/>
        </w:numPr>
        <w:spacing w:after="60"/>
        <w:jc w:val="both"/>
      </w:pPr>
      <w:r>
        <w:rPr>
          <w:rFonts w:ascii="Calibri" w:hAnsi="Calibri" w:cs="Arial"/>
          <w:sz w:val="24"/>
          <w:szCs w:val="24"/>
        </w:rPr>
        <w:t xml:space="preserve">Lot acceptance rate (example target: at least 98%), PPM and OTIF (example target: at least 95%),</w:t>
      </w:r>
    </w:p>
    <w:p>
      <w:pPr>
        <w:pStyle w:val="ListeParagraf"/>
        <w:numPr>
          <w:ilvl w:val="0"/>
          <w:numId w:val="1"/>
        </w:numPr>
        <w:spacing w:after="60"/>
        <w:jc w:val="both"/>
      </w:pPr>
      <w:r>
        <w:rPr>
          <w:rFonts w:ascii="Calibri" w:hAnsi="Calibri" w:cs="Arial"/>
          <w:sz w:val="24"/>
          <w:szCs w:val="24"/>
        </w:rPr>
        <w:t xml:space="preserve">Distribution of suppliers by class (A, B, C, D),</w:t>
      </w:r>
    </w:p>
    <w:p>
      <w:pPr>
        <w:pStyle w:val="ListeParagraf"/>
        <w:numPr>
          <w:ilvl w:val="0"/>
          <w:numId w:val="1"/>
        </w:numPr>
        <w:spacing w:after="60"/>
        <w:jc w:val="both"/>
      </w:pPr>
      <w:r>
        <w:rPr>
          <w:rFonts w:ascii="Calibri" w:hAnsi="Calibri" w:cs="Arial"/>
          <w:sz w:val="24"/>
          <w:szCs w:val="24"/>
        </w:rPr>
        <w:t xml:space="preserve">Number of open supplier corrective actions.</w:t>
      </w:r>
    </w:p>
    <w:p>
      <w:pPr>
        <w:pStyle w:val="ListeParagraf"/>
        <w:spacing w:after="80"/>
        <w:ind w:left="709" w:right="0"/>
        <w:jc w:val="both"/>
      </w:pPr>
      <w:r>
        <w:rPr>
          <w:rFonts w:ascii="Calibri" w:hAnsi="Calibri" w:cs="Arial"/>
          <w:sz w:val="24"/>
          <w:szCs w:val="24"/>
        </w:rPr>
        <w:t xml:space="preserve">6.2. Targets and thresholds are defined in the customer specification and company policy and are updated when necessary.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Supplier Evaluation Questionnaire and Supplier Audit Checklist (FRM-SAT-01)</w:t>
      </w:r>
    </w:p>
    <w:p>
      <w:pPr>
        <w:pStyle w:val="ListeParagraf"/>
        <w:numPr>
          <w:ilvl w:val="0"/>
          <w:numId w:val="1"/>
        </w:numPr>
        <w:spacing w:after="60"/>
        <w:jc w:val="both"/>
      </w:pPr>
      <w:r>
        <w:rPr>
          <w:rFonts w:ascii="Calibri" w:hAnsi="Calibri" w:cs="Arial"/>
          <w:sz w:val="24"/>
          <w:szCs w:val="24"/>
        </w:rPr>
        <w:t xml:space="preserve">Approved Supplier List (FRM-TED-01)</w:t>
      </w:r>
    </w:p>
    <w:p>
      <w:pPr>
        <w:pStyle w:val="ListeParagraf"/>
        <w:numPr>
          <w:ilvl w:val="0"/>
          <w:numId w:val="1"/>
        </w:numPr>
        <w:spacing w:after="60"/>
        <w:jc w:val="both"/>
      </w:pPr>
      <w:r>
        <w:rPr>
          <w:rFonts w:ascii="Calibri" w:hAnsi="Calibri" w:cs="Arial"/>
          <w:sz w:val="24"/>
          <w:szCs w:val="24"/>
        </w:rPr>
        <w:t xml:space="preserve">Supplier Performance Form and Scorecards (FRM-SAT-04)</w:t>
      </w:r>
    </w:p>
    <w:p>
      <w:pPr>
        <w:pStyle w:val="ListeParagraf"/>
        <w:numPr>
          <w:ilvl w:val="0"/>
          <w:numId w:val="1"/>
        </w:numPr>
        <w:spacing w:after="60"/>
        <w:jc w:val="both"/>
      </w:pPr>
      <w:r>
        <w:rPr>
          <w:rFonts w:ascii="Calibri" w:hAnsi="Calibri" w:cs="Arial"/>
          <w:sz w:val="24"/>
          <w:szCs w:val="24"/>
        </w:rPr>
        <w:t xml:space="preserve">EMS.QA.FRM.07.19. Yarn Inspection Input Control and Supplier Evaluation Form</w:t>
      </w:r>
    </w:p>
    <w:p>
      <w:pPr>
        <w:pStyle w:val="ListeParagraf"/>
        <w:numPr>
          <w:ilvl w:val="0"/>
          <w:numId w:val="1"/>
        </w:numPr>
        <w:spacing w:after="60"/>
        <w:jc w:val="both"/>
      </w:pPr>
      <w:r>
        <w:rPr>
          <w:rFonts w:ascii="Calibri" w:hAnsi="Calibri" w:cs="Arial"/>
          <w:sz w:val="24"/>
          <w:szCs w:val="24"/>
        </w:rPr>
        <w:t xml:space="preserve">Supplier CAPA Request Form (FRM-TED-02) and Supplier Corrective Action Plans</w:t>
      </w:r>
    </w:p>
    <w:p>
      <w:pPr>
        <w:pStyle w:val="ListeParagraf"/>
        <w:numPr>
          <w:ilvl w:val="0"/>
          <w:numId w:val="1"/>
        </w:numPr>
        <w:spacing w:after="60"/>
        <w:jc w:val="both"/>
      </w:pPr>
      <w:r>
        <w:rPr>
          <w:rFonts w:ascii="Calibri" w:hAnsi="Calibri" w:cs="Arial"/>
          <w:sz w:val="24"/>
          <w:szCs w:val="24"/>
        </w:rPr>
        <w:t xml:space="preserve">Supplier Code of Conduct and Anti-Bribery Declarations</w:t>
      </w:r>
    </w:p>
    <w:p>
      <w:pPr>
        <w:pStyle w:val="ListeParagraf"/>
        <w:numPr>
          <w:ilvl w:val="0"/>
          <w:numId w:val="1"/>
        </w:numPr>
        <w:spacing w:after="60"/>
        <w:jc w:val="both"/>
      </w:pPr>
      <w:r>
        <w:rPr>
          <w:rFonts w:ascii="Calibri" w:hAnsi="Calibri" w:cs="Arial"/>
          <w:sz w:val="24"/>
          <w:szCs w:val="24"/>
        </w:rPr>
        <w:t xml:space="preserve">PRS-SAT-01 Supplier Selection and Evaluation Procedure; PRS-TED-01 Supplier Management Procedure</w:t>
      </w:r>
    </w:p>
    <w:p>
      <w:pPr>
        <w:pStyle w:val="ListeParagraf"/>
        <w:numPr>
          <w:ilvl w:val="0"/>
          <w:numId w:val="1"/>
        </w:numPr>
        <w:spacing w:after="60"/>
        <w:jc w:val="both"/>
      </w:pPr>
      <w:r>
        <w:rPr>
          <w:rFonts w:ascii="Calibri" w:hAnsi="Calibri" w:cs="Arial"/>
          <w:sz w:val="24"/>
          <w:szCs w:val="24"/>
        </w:rPr>
        <w:t xml:space="preserve">TLM-SAT-01, TLM-SAT-04, TLM-TED-01, TLM-TED-02, TLM-TED-03</w:t>
      </w:r>
    </w:p>
    <w:p>
      <w:pPr>
        <w:pStyle w:val="ListeParagraf"/>
        <w:numPr>
          <w:ilvl w:val="0"/>
          <w:numId w:val="1"/>
        </w:numPr>
        <w:spacing w:after="60"/>
        <w:jc w:val="both"/>
      </w:pPr>
      <w:r>
        <w:rPr>
          <w:rFonts w:ascii="Calibri" w:hAnsi="Calibri" w:cs="Arial"/>
          <w:sz w:val="24"/>
          <w:szCs w:val="24"/>
        </w:rPr>
        <w:t xml:space="preserve">EMS.SA.POL.04.01. Purchasing Policy</w:t>
      </w:r>
    </w:p>
    <w:p>
      <w:pPr>
        <w:pStyle w:val="ListeParagraf"/>
        <w:numPr>
          <w:ilvl w:val="0"/>
          <w:numId w:val="1"/>
        </w:numPr>
        <w:spacing w:after="60"/>
        <w:jc w:val="both"/>
      </w:pPr>
      <w:r>
        <w:rPr>
          <w:rFonts w:ascii="Calibri" w:hAnsi="Calibri" w:cs="Arial"/>
          <w:sz w:val="24"/>
          <w:szCs w:val="24"/>
        </w:rPr>
        <w:t xml:space="preserve">EMS.SA.PRO.04.02. Purchasing Procedure</w:t>
      </w:r>
    </w:p>
    <w:p>
      <w:pPr>
        <w:pStyle w:val="ListeParagraf"/>
        <w:numPr>
          <w:ilvl w:val="0"/>
          <w:numId w:val="1"/>
        </w:numPr>
        <w:spacing w:after="60"/>
        <w:jc w:val="both"/>
      </w:pPr>
      <w:r>
        <w:rPr>
          <w:rFonts w:ascii="Calibri" w:hAnsi="Calibri" w:cs="Arial"/>
          <w:sz w:val="24"/>
          <w:szCs w:val="24"/>
        </w:rPr>
        <w:t xml:space="preserve">EMS.SA.PRO.04.04. Subcontracted (Outsourced) Process Control Procedure</w:t>
      </w:r>
    </w:p>
    <w:p>
      <w:pPr>
        <w:pStyle w:val="ListeParagraf"/>
        <w:numPr>
          <w:ilvl w:val="0"/>
          <w:numId w:val="1"/>
        </w:numPr>
        <w:spacing w:after="60"/>
        <w:jc w:val="both"/>
      </w:pPr>
      <w:r>
        <w:rPr>
          <w:rFonts w:ascii="Calibri" w:hAnsi="Calibri" w:cs="Arial"/>
          <w:sz w:val="24"/>
          <w:szCs w:val="24"/>
        </w:rPr>
        <w:t xml:space="preserve">EMS.KM.PRO.20.04. Chemical Procurement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EMS.İK.PRO.01.05. Anti-Bribery and Anti-Corruption Procedure</w:t>
      </w:r>
    </w:p>
    <w:p>
      <w:pPr>
        <w:pStyle w:val="ListeParagraf"/>
        <w:numPr>
          <w:ilvl w:val="0"/>
          <w:numId w:val="1"/>
        </w:numPr>
        <w:spacing w:after="60"/>
        <w:jc w:val="both"/>
      </w:pPr>
      <w:r>
        <w:rPr>
          <w:rFonts w:ascii="Calibri" w:hAnsi="Calibri" w:cs="Arial"/>
          <w:sz w:val="24"/>
          <w:szCs w:val="24"/>
        </w:rPr>
        <w:t xml:space="preserve">EMS.SR.PRO.16.03. Responsible Sourcing of Raw Materials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FOLLOW-UP</w:t>
      </w:r>
    </w:p>
    <w:p>
      <w:pPr>
        <w:pStyle w:val="ListeParagraf"/>
        <w:spacing w:after="80"/>
        <w:ind w:left="709" w:right="0"/>
        <w:jc w:val="both"/>
      </w:pPr>
      <w:r>
        <w:rPr>
          <w:rFonts w:ascii="Calibri" w:hAnsi="Calibri" w:cs="Arial"/>
          <w:sz w:val="24"/>
          <w:szCs w:val="24"/>
        </w:rPr>
        <w:t xml:space="preserve">This procedure is reviewed every year by the Purchasing Manager together with Quality Assurance and the CSR team. Audit results, customer requirements and supplier feedback are evaluated and the procedure is revised when necessary. Records are kept for three years.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تقييم الموردين والمقاولين من الباطن الجدد واعتمادهم، وكيفية متابعة أداء الموردين والمقاولين من الباطن الحاليين وإعادة تقييمهم في شركة إيروغلو للتريكو (EMS)، بما يشمل معايير الجودة والتسليم والبيئة والكيماويات والامتثال الاجتماعي. ويضمن أن تتعامل EMS فقط مع موردين مقيَّمين ومعتمدين وأن تبقى العمليات والمنتجات والخدمات المقدمة من جهات خارجية تحت السيطرة (ISO 9001:2015، البند 8.4).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موردي المواد والكيماويات والخدمات وجميع المقاولين من الباطن الذين ينفذون عمليات إنتاجية (الطباعة أو التطريز أو الغسيل أو التريكو أو الخياطة) لصالح EMS. ويُدرج الموردون الذين يرشحهم العملاء ضمن متابعة الأداء. ويُقيَّم بموجب هذا الإجراء موردو المواد الخام والمنتجات نصف المصنعة والإكسسوارات والخدمات جميعًا.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المشتريات:</w:t>
      </w:r>
      <w:r>
        <w:rPr>
          <w:rFonts w:ascii="Calibri" w:hAnsi="Calibri" w:cs="Arial"/>
          <w:rtl/>
          <w:sz w:val="24"/>
          <w:szCs w:val="24"/>
        </w:rPr>
        <w:t xml:space="preserve"> ينسق عملية التقييم ويحافظ على قائمة الموردين المعتمدين ويشارك النتائج مع الموردين.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يقيّم أنظمة الجودة وجودة المنتج ونتائج فحص التوريدات؛ ويطلب تقارير 8D من الموردين ويغلقها.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المسؤولية الاجتماعية والامتثال:</w:t>
      </w:r>
      <w:r>
        <w:rPr>
          <w:rFonts w:ascii="Calibri" w:hAnsi="Calibri" w:cs="Arial"/>
          <w:rtl/>
          <w:sz w:val="24"/>
          <w:szCs w:val="24"/>
        </w:rPr>
        <w:t xml:space="preserve"> يقيّم الامتثال الاجتماعي والصحة والسلامة والأداء البيئي، وينفذ عمليات تدقيق المقاولين من الباطن.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الكيماويات:</w:t>
      </w:r>
      <w:r>
        <w:rPr>
          <w:rFonts w:ascii="Calibri" w:hAnsi="Calibri" w:cs="Arial"/>
          <w:rtl/>
          <w:sz w:val="24"/>
          <w:szCs w:val="24"/>
        </w:rPr>
        <w:t xml:space="preserve"> يقيّم موردي الكيماويات من حيث المطابقة لـ ZDHC MRSL وصحف بيانات السلامة (SDS) والشهادات.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المختبر والمخزن:</w:t>
      </w:r>
      <w:r>
        <w:rPr>
          <w:rFonts w:ascii="Calibri" w:hAnsi="Calibri" w:cs="Arial"/>
          <w:rtl/>
          <w:sz w:val="24"/>
          <w:szCs w:val="24"/>
        </w:rPr>
        <w:t xml:space="preserve"> يوفران نتائج الفحص الوارد وسجلات الاستلام (الدفعات المقبولة والمرفوضة) لكل مورد.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التخطيط:</w:t>
      </w:r>
      <w:r>
        <w:rPr>
          <w:rFonts w:ascii="Calibri" w:hAnsi="Calibri" w:cs="Arial"/>
          <w:rtl/>
          <w:sz w:val="24"/>
          <w:szCs w:val="24"/>
        </w:rPr>
        <w:t xml:space="preserve"> يتابع أداء التسليم ويبلغ عن التأخيرات.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الموردين الحرجين الجدد والاستثناءات العاجلة وقرارات حذف الموردين من القائمة.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المورد الحرج:</w:t>
      </w:r>
      <w:r>
        <w:rPr>
          <w:rFonts w:ascii="Calibri" w:hAnsi="Calibri" w:cs="Arial"/>
          <w:rtl/>
          <w:sz w:val="24"/>
          <w:szCs w:val="24"/>
        </w:rPr>
        <w:t xml:space="preserve"> مورد أو مقاول من الباطن يؤثر منتجه أو خدمته مباشرة على جودة المنتج أو سلامته أو الامتثال الكيميائي أو التسليم للعميل.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درجة المورد:</w:t>
      </w:r>
      <w:r>
        <w:rPr>
          <w:rFonts w:ascii="Calibri" w:hAnsi="Calibri" w:cs="Arial"/>
          <w:rtl/>
          <w:sz w:val="24"/>
          <w:szCs w:val="24"/>
        </w:rPr>
        <w:t xml:space="preserve"> درجة الأداء المحسوبة لكل مورد بناءً على معايير الجودة والتسليم والامتثال والخدمة.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التعاقد من الباطن غير المصرح به:</w:t>
      </w:r>
      <w:r>
        <w:rPr>
          <w:rFonts w:ascii="Calibri" w:hAnsi="Calibri" w:cs="Arial"/>
          <w:rtl/>
          <w:sz w:val="24"/>
          <w:szCs w:val="24"/>
        </w:rPr>
        <w:t xml:space="preserve"> إسناد أي جزء من الإنتاج إلى منشأة غير معتمدة من EMS، ومن العميل عند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OTIF:</w:t>
      </w:r>
      <w:r>
        <w:rPr>
          <w:rFonts w:ascii="Calibri" w:hAnsi="Calibri" w:cs="Arial"/>
          <w:rtl/>
          <w:sz w:val="24"/>
          <w:szCs w:val="24"/>
        </w:rPr>
        <w:t xml:space="preserve"> نسبة التسليم في الموعد وبالكامل.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PPM:</w:t>
      </w:r>
      <w:r>
        <w:rPr>
          <w:rFonts w:ascii="Calibri" w:hAnsi="Calibri" w:cs="Arial"/>
          <w:rtl/>
          <w:sz w:val="24"/>
          <w:szCs w:val="24"/>
        </w:rPr>
        <w:t xml:space="preserve"> عدد الوحدات المعيبة لكل مليون وحدة موردة.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الاعتماد المشروط:</w:t>
      </w:r>
      <w:r>
        <w:rPr>
          <w:rFonts w:ascii="Calibri" w:hAnsi="Calibri" w:cs="Arial"/>
          <w:rtl/>
          <w:sz w:val="24"/>
          <w:szCs w:val="24"/>
        </w:rPr>
        <w:t xml:space="preserve"> اعتماد مؤقت يُمنح بشرط تحسين محدد وموعد نهائي.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تقرير 8D:</w:t>
      </w:r>
      <w:r>
        <w:rPr>
          <w:rFonts w:ascii="Calibri" w:hAnsi="Calibri" w:cs="Arial"/>
          <w:rtl/>
          <w:sz w:val="24"/>
          <w:szCs w:val="24"/>
        </w:rPr>
        <w:t xml:space="preserve"> استجابة المورد المنظمة لعدم المطابقة، وتشمل الاحتواء والسبب الجذري والإجراء التصحيحي.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تقييم الموردين والمقاولين من الباطن الجدد</w:t>
      </w:r>
    </w:p>
    <w:p>
      <w:pPr>
        <w:pStyle w:val="ListeParagraf"/>
        <w:bidi/>
        <w:spacing w:after="80"/>
        <w:ind w:left="0" w:right="709"/>
        <w:jc w:val="both"/>
      </w:pPr>
      <w:r>
        <w:rPr>
          <w:rFonts w:ascii="Calibri" w:hAnsi="Calibri" w:cs="Arial"/>
          <w:rtl/>
          <w:sz w:val="24"/>
          <w:szCs w:val="24"/>
        </w:rPr>
        <w:t xml:space="preserve">1.1. يُقيّم المورد الجديد أولًا من خلال استبيان تقييم المورد (FRM-SAT-01) الذي يغطي معلومات الشركة والطاقة الإنتاجية والشهادات (ISO 9001 وISO 14001 وGRS وRCS وOCS وOEKO-TEX) ونظام الجودة والمراجع وحالة الامتثال الاجتماعي (TLM-SAT-01).</w:t>
      </w:r>
    </w:p>
    <w:p>
      <w:pPr>
        <w:pStyle w:val="ListeParagraf"/>
        <w:bidi/>
        <w:spacing w:after="80"/>
        <w:ind w:left="0" w:right="709"/>
        <w:jc w:val="both"/>
      </w:pPr>
      <w:r>
        <w:rPr>
          <w:rFonts w:ascii="Calibri" w:hAnsi="Calibri" w:cs="Arial"/>
          <w:rtl/>
          <w:sz w:val="24"/>
          <w:szCs w:val="24"/>
        </w:rPr>
        <w:t xml:space="preserve">1.2. يوقع المورد على مدونة قواعد سلوك الموردين لدى EMS وإقرار مكافحة الرشوة.</w:t>
      </w:r>
    </w:p>
    <w:p>
      <w:pPr>
        <w:pStyle w:val="ListeParagraf"/>
        <w:bidi/>
        <w:spacing w:after="80"/>
        <w:ind w:left="0" w:right="709"/>
        <w:jc w:val="both"/>
      </w:pPr>
      <w:r>
        <w:rPr>
          <w:rFonts w:ascii="Calibri" w:hAnsi="Calibri" w:cs="Arial"/>
          <w:rtl/>
          <w:sz w:val="24"/>
          <w:szCs w:val="24"/>
        </w:rPr>
        <w:t xml:space="preserve">1.3. يقدم موردو الكيماويات صحف بيانات السلامة (SDS) وصحف البيانات الفنية وأدلة المطابقة لـ ZDHC MRSL لكل منتج.</w:t>
      </w:r>
    </w:p>
    <w:p>
      <w:pPr>
        <w:pStyle w:val="ListeParagraf"/>
        <w:bidi/>
        <w:spacing w:after="80"/>
        <w:ind w:left="0" w:right="709"/>
        <w:jc w:val="both"/>
      </w:pPr>
      <w:r>
        <w:rPr>
          <w:rFonts w:ascii="Calibri" w:hAnsi="Calibri" w:cs="Arial"/>
          <w:rtl/>
          <w:sz w:val="24"/>
          <w:szCs w:val="24"/>
        </w:rPr>
        <w:t xml:space="preserve">1.4. يُدقق على الموردين الحرجين وجميع المقاولين من الباطن ميدانيًا قبل الاعتماد. ويشمل التدقيق:</w:t>
      </w:r>
    </w:p>
    <w:p>
      <w:pPr>
        <w:pStyle w:val="ListeParagraf"/>
        <w:numPr>
          <w:ilvl w:val="0"/>
          <w:numId w:val="1"/>
        </w:numPr>
        <w:bidi/>
        <w:spacing w:after="60"/>
        <w:jc w:val="both"/>
      </w:pPr>
      <w:r>
        <w:rPr>
          <w:rFonts w:ascii="Calibri" w:hAnsi="Calibri" w:cs="Arial"/>
          <w:rtl/>
          <w:sz w:val="24"/>
          <w:szCs w:val="24"/>
        </w:rPr>
        <w:t xml:space="preserve">نظام الجودة والطاقة الإنتاجية وفحص المنتج،</w:t>
      </w:r>
    </w:p>
    <w:p>
      <w:pPr>
        <w:pStyle w:val="ListeParagraf"/>
        <w:numPr>
          <w:ilvl w:val="0"/>
          <w:numId w:val="1"/>
        </w:numPr>
        <w:bidi/>
        <w:spacing w:after="60"/>
        <w:jc w:val="both"/>
      </w:pPr>
      <w:r>
        <w:rPr>
          <w:rFonts w:ascii="Calibri" w:hAnsi="Calibri" w:cs="Arial"/>
          <w:rtl/>
          <w:sz w:val="24"/>
          <w:szCs w:val="24"/>
        </w:rPr>
        <w:t xml:space="preserve">ظروف العمل وساعات العمل والأجور والتحقق من السن وعدم وجود عمل جبري،</w:t>
      </w:r>
    </w:p>
    <w:p>
      <w:pPr>
        <w:pStyle w:val="ListeParagraf"/>
        <w:numPr>
          <w:ilvl w:val="0"/>
          <w:numId w:val="1"/>
        </w:numPr>
        <w:bidi/>
        <w:spacing w:after="60"/>
        <w:jc w:val="both"/>
      </w:pPr>
      <w:r>
        <w:rPr>
          <w:rFonts w:ascii="Calibri" w:hAnsi="Calibri" w:cs="Arial"/>
          <w:rtl/>
          <w:sz w:val="24"/>
          <w:szCs w:val="24"/>
        </w:rPr>
        <w:t xml:space="preserve">السلامة من الحريق وسلامة المباني والصحة والسلامة وتخزين الكيماويات،</w:t>
      </w:r>
    </w:p>
    <w:p>
      <w:pPr>
        <w:pStyle w:val="ListeParagraf"/>
        <w:numPr>
          <w:ilvl w:val="0"/>
          <w:numId w:val="1"/>
        </w:numPr>
        <w:bidi/>
        <w:spacing w:after="60"/>
        <w:jc w:val="both"/>
      </w:pPr>
      <w:r>
        <w:rPr>
          <w:rFonts w:ascii="Calibri" w:hAnsi="Calibri" w:cs="Arial"/>
          <w:rtl/>
          <w:sz w:val="24"/>
          <w:szCs w:val="24"/>
        </w:rPr>
        <w:t xml:space="preserve">التصاريح البيئية وإدارة النفايات ومياه الصرف وأمن البضائع.</w:t>
      </w:r>
    </w:p>
    <w:p>
      <w:pPr>
        <w:pStyle w:val="ListeParagraf"/>
        <w:bidi/>
        <w:spacing w:after="80"/>
        <w:ind w:left="0" w:right="709"/>
        <w:jc w:val="both"/>
      </w:pPr>
      <w:r>
        <w:rPr>
          <w:rFonts w:ascii="Calibri" w:hAnsi="Calibri" w:cs="Arial"/>
          <w:rtl/>
          <w:sz w:val="24"/>
          <w:szCs w:val="24"/>
        </w:rPr>
        <w:t xml:space="preserve">1.5. يُقيّم ضمان الجودة العينات أو الطلبية التجريبية عند الحاجة.</w:t>
      </w:r>
    </w:p>
    <w:p>
      <w:pPr>
        <w:pStyle w:val="ListeParagraf"/>
        <w:bidi/>
        <w:spacing w:after="80"/>
        <w:ind w:left="0" w:right="709"/>
        <w:jc w:val="both"/>
      </w:pPr>
      <w:r>
        <w:rPr>
          <w:rFonts w:ascii="Calibri" w:hAnsi="Calibri" w:cs="Arial"/>
          <w:rtl/>
          <w:sz w:val="24"/>
          <w:szCs w:val="24"/>
        </w:rPr>
        <w:t xml:space="preserve">1.6. بناءً على النتائج يقرر ضمان الجودة والمشتريات معًا: يُعتمد المورد، أو يُعتمد بشروط مع خطة إجراءات تصحيحية، أو يُرفض؛ ويُضاف الموردون المعتمدون إلى قائمة الموردين المعتمدين (FRM-TED-01؛ TLM-TED-01).</w:t>
      </w:r>
    </w:p>
    <w:p>
      <w:pPr>
        <w:pStyle w:val="ListeParagraf"/>
        <w:bidi/>
        <w:spacing w:after="80"/>
        <w:ind w:left="0" w:right="709"/>
        <w:jc w:val="both"/>
      </w:pPr>
      <w:r>
        <w:rPr>
          <w:rFonts w:ascii="Calibri" w:hAnsi="Calibri" w:cs="Arial"/>
          <w:rtl/>
          <w:sz w:val="24"/>
          <w:szCs w:val="24"/>
        </w:rPr>
        <w:t xml:space="preserve">1.7. لا تُصدر طلبية لمورد غير مدرج في القائمة؛ ويتطلب الاستثناء العاجل موافقة المدير العام وفحصًا واردًا إضافيًا.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الرقابة على المقاولين من الباطن</w:t>
      </w:r>
    </w:p>
    <w:p>
      <w:pPr>
        <w:pStyle w:val="ListeParagraf"/>
        <w:bidi/>
        <w:spacing w:after="80"/>
        <w:ind w:left="0" w:right="709"/>
        <w:jc w:val="both"/>
      </w:pPr>
      <w:r>
        <w:rPr>
          <w:rFonts w:ascii="Calibri" w:hAnsi="Calibri" w:cs="Arial"/>
          <w:rtl/>
          <w:sz w:val="24"/>
          <w:szCs w:val="24"/>
        </w:rPr>
        <w:t xml:space="preserve">2.1. لا يُسند العمل إلا إلى المقاولين من الباطن المعتمدين؛ ويُبلغ العميل ويُحصل على موافقته عندما يشترط ذلك.</w:t>
      </w:r>
    </w:p>
    <w:p>
      <w:pPr>
        <w:pStyle w:val="ListeParagraf"/>
        <w:bidi/>
        <w:spacing w:after="80"/>
        <w:ind w:left="0" w:right="709"/>
        <w:jc w:val="both"/>
      </w:pPr>
      <w:r>
        <w:rPr>
          <w:rFonts w:ascii="Calibri" w:hAnsi="Calibri" w:cs="Arial"/>
          <w:rtl/>
          <w:sz w:val="24"/>
          <w:szCs w:val="24"/>
        </w:rPr>
        <w:t xml:space="preserve">2.2. تُسجل البضائع المرسلة إلى المقاولين من الباطن والمستلمة منهم مع الكمية وتفاصيل الطلبية للحفاظ على إمكانية التتبع.</w:t>
      </w:r>
    </w:p>
    <w:p>
      <w:pPr>
        <w:pStyle w:val="ListeParagraf"/>
        <w:bidi/>
        <w:spacing w:after="80"/>
        <w:ind w:left="0" w:right="709"/>
        <w:jc w:val="both"/>
      </w:pPr>
      <w:r>
        <w:rPr>
          <w:rFonts w:ascii="Calibri" w:hAnsi="Calibri" w:cs="Arial"/>
          <w:rtl/>
          <w:sz w:val="24"/>
          <w:szCs w:val="24"/>
        </w:rPr>
        <w:t xml:space="preserve">2.3. تُجرى زيارات غير معلنة للمقاولين من الباطن أثناء الإنتاج للتحقق من الجودة وظروف العمل.</w:t>
      </w:r>
    </w:p>
    <w:p>
      <w:pPr>
        <w:pStyle w:val="ListeParagraf"/>
        <w:bidi/>
        <w:spacing w:after="80"/>
        <w:ind w:left="0" w:right="709"/>
        <w:jc w:val="both"/>
      </w:pPr>
      <w:r>
        <w:rPr>
          <w:rFonts w:ascii="Calibri" w:hAnsi="Calibri" w:cs="Arial"/>
          <w:rtl/>
          <w:sz w:val="24"/>
          <w:szCs w:val="24"/>
        </w:rPr>
        <w:t xml:space="preserve">2.4. تُنفذ الرقابة التفصيلية على العملية المسندة خارجيًا وفق EMS.SA.PRO.04.04.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سجل الفحص الوارد ومتطلبات الموردين</w:t>
      </w:r>
    </w:p>
    <w:p>
      <w:pPr>
        <w:pStyle w:val="ListeParagraf"/>
        <w:bidi/>
        <w:spacing w:after="80"/>
        <w:ind w:left="0" w:right="709"/>
        <w:jc w:val="both"/>
      </w:pPr>
      <w:r>
        <w:rPr>
          <w:rFonts w:ascii="Calibri" w:hAnsi="Calibri" w:cs="Arial"/>
          <w:rtl/>
          <w:sz w:val="24"/>
          <w:szCs w:val="24"/>
        </w:rPr>
        <w:t xml:space="preserve">3.1. تذكر أوامر الشراء بوضوح المواصفات ومتطلبات الاختبار ومتطلبات المواد المقيدة والتعبئة والتوسيم وتاريخ التسليم؛ وتُبلغ متطلبات العميل (الكيماويات المعتمدة والمواد المعتمدة) إلى المورد كتابيًا (EMS.SA.PRO.04.02).</w:t>
      </w:r>
    </w:p>
    <w:p>
      <w:pPr>
        <w:pStyle w:val="ListeParagraf"/>
        <w:bidi/>
        <w:spacing w:after="80"/>
        <w:ind w:left="0" w:right="709"/>
        <w:jc w:val="both"/>
      </w:pPr>
      <w:r>
        <w:rPr>
          <w:rFonts w:ascii="Calibri" w:hAnsi="Calibri" w:cs="Arial"/>
          <w:rtl/>
          <w:sz w:val="24"/>
          <w:szCs w:val="24"/>
        </w:rPr>
        <w:t xml:space="preserve">3.2. تُطلب شهادات المنتج وتقارير الاختبار مع كل توريد عند الحاجة.</w:t>
      </w:r>
    </w:p>
    <w:p>
      <w:pPr>
        <w:pStyle w:val="ListeParagraf"/>
        <w:bidi/>
        <w:spacing w:after="80"/>
        <w:ind w:left="0" w:right="709"/>
        <w:jc w:val="both"/>
      </w:pPr>
      <w:r>
        <w:rPr>
          <w:rFonts w:ascii="Calibri" w:hAnsi="Calibri" w:cs="Arial"/>
          <w:rtl/>
          <w:sz w:val="24"/>
          <w:szCs w:val="24"/>
        </w:rPr>
        <w:t xml:space="preserve">3.3. يُفحص كل توريد وفق إجراءات المخزن والمختبر؛ وتُسجل نتائج القبول والرفض لكل مورد. وتُقيَّم مدخلات الغزل بنموذج فحص الغزل الوارد وتقييم المورد (EMS.QA.FRM.07.19).</w:t>
      </w:r>
    </w:p>
    <w:p>
      <w:pPr>
        <w:pStyle w:val="ListeParagraf"/>
        <w:bidi/>
        <w:spacing w:after="80"/>
        <w:ind w:left="0" w:right="709"/>
        <w:jc w:val="both"/>
      </w:pPr>
      <w:r>
        <w:rPr>
          <w:rFonts w:ascii="Calibri" w:hAnsi="Calibri" w:cs="Arial"/>
          <w:rtl/>
          <w:sz w:val="24"/>
          <w:szCs w:val="24"/>
        </w:rPr>
        <w:t xml:space="preserve">3.4. توضع بطاقات على الدفعات غير المطابقة وتُحجر؛ ويقرر ضمان الجودة الرفض أو القبول المشروط أو الإرجاع.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متابعة الأداء</w:t>
      </w:r>
    </w:p>
    <w:p>
      <w:pPr>
        <w:pStyle w:val="ListeParagraf"/>
        <w:bidi/>
        <w:spacing w:after="80"/>
        <w:ind w:left="0" w:right="709"/>
        <w:jc w:val="both"/>
      </w:pPr>
      <w:r>
        <w:rPr>
          <w:rFonts w:ascii="Calibri" w:hAnsi="Calibri" w:cs="Arial"/>
          <w:rtl/>
          <w:sz w:val="24"/>
          <w:szCs w:val="24"/>
        </w:rPr>
        <w:t xml:space="preserve">4.1. يُقيّم أداء الموردين كل ستة أشهر (للموردين الحرجين) أو سنويًا (لباقي الموردين)؛ ويُحتسب للموردين الحرجين تقييم ربع سنوي من سجلات الاستلام (TLM-TED-02؛ TLM-SAT-04). والمعايير هي:</w:t>
      </w:r>
    </w:p>
    <w:p>
      <w:pPr>
        <w:pStyle w:val="ListeParagraf"/>
        <w:numPr>
          <w:ilvl w:val="0"/>
          <w:numId w:val="1"/>
        </w:numPr>
        <w:bidi/>
        <w:spacing w:after="60"/>
        <w:jc w:val="both"/>
      </w:pPr>
      <w:r>
        <w:rPr>
          <w:rFonts w:ascii="Calibri" w:hAnsi="Calibri" w:cs="Arial"/>
          <w:rtl/>
          <w:sz w:val="24"/>
          <w:szCs w:val="24"/>
        </w:rPr>
        <w:t xml:space="preserve">الجودة: التوريدات المرفوضة والشكاوى ونسبة قبول الدفعات وPPM (40%)،</w:t>
      </w:r>
    </w:p>
    <w:p>
      <w:pPr>
        <w:pStyle w:val="ListeParagraf"/>
        <w:numPr>
          <w:ilvl w:val="0"/>
          <w:numId w:val="1"/>
        </w:numPr>
        <w:bidi/>
        <w:spacing w:after="60"/>
        <w:jc w:val="both"/>
      </w:pPr>
      <w:r>
        <w:rPr>
          <w:rFonts w:ascii="Calibri" w:hAnsi="Calibri" w:cs="Arial"/>
          <w:rtl/>
          <w:sz w:val="24"/>
          <w:szCs w:val="24"/>
        </w:rPr>
        <w:t xml:space="preserve">التسليم: التسليم في الموعد وبالكامل، OTIF (30%)،</w:t>
      </w:r>
    </w:p>
    <w:p>
      <w:pPr>
        <w:pStyle w:val="ListeParagraf"/>
        <w:numPr>
          <w:ilvl w:val="0"/>
          <w:numId w:val="1"/>
        </w:numPr>
        <w:bidi/>
        <w:spacing w:after="60"/>
        <w:jc w:val="both"/>
      </w:pPr>
      <w:r>
        <w:rPr>
          <w:rFonts w:ascii="Calibri" w:hAnsi="Calibri" w:cs="Arial"/>
          <w:rtl/>
          <w:sz w:val="24"/>
          <w:szCs w:val="24"/>
        </w:rPr>
        <w:t xml:space="preserve">الامتثال: الامتثال الاجتماعي والبيئي والكيميائي وصلاحية الشهادات ونتائج التدقيق (20%)،</w:t>
      </w:r>
    </w:p>
    <w:p>
      <w:pPr>
        <w:pStyle w:val="ListeParagraf"/>
        <w:numPr>
          <w:ilvl w:val="0"/>
          <w:numId w:val="1"/>
        </w:numPr>
        <w:bidi/>
        <w:spacing w:after="60"/>
        <w:jc w:val="both"/>
      </w:pPr>
      <w:r>
        <w:rPr>
          <w:rFonts w:ascii="Calibri" w:hAnsi="Calibri" w:cs="Arial"/>
          <w:rtl/>
          <w:sz w:val="24"/>
          <w:szCs w:val="24"/>
        </w:rPr>
        <w:t xml:space="preserve">الخدمة: التواصل والمرونة والاستجابة للمشكلات (10%).</w:t>
      </w:r>
    </w:p>
    <w:p>
      <w:pPr>
        <w:pStyle w:val="ListeParagraf"/>
        <w:bidi/>
        <w:spacing w:after="80"/>
        <w:ind w:left="0" w:right="709"/>
        <w:jc w:val="both"/>
      </w:pPr>
      <w:r>
        <w:rPr>
          <w:rFonts w:ascii="Calibri" w:hAnsi="Calibri" w:cs="Arial"/>
          <w:rtl/>
          <w:sz w:val="24"/>
          <w:szCs w:val="24"/>
        </w:rPr>
        <w:t xml:space="preserve">4.2. يُصنف الموردون حسب درجاتهم: A (85-100) مفضل، B (70-84) معتمد، C (50-69) مطلوب خطة تحسين، D (أقل من 50) يُحذف من القائمة.</w:t>
      </w:r>
    </w:p>
    <w:p>
      <w:pPr>
        <w:pStyle w:val="ListeParagraf"/>
        <w:bidi/>
        <w:spacing w:after="80"/>
        <w:ind w:left="0" w:right="709"/>
        <w:jc w:val="both"/>
      </w:pPr>
      <w:r>
        <w:rPr>
          <w:rFonts w:ascii="Calibri" w:hAnsi="Calibri" w:cs="Arial"/>
          <w:rtl/>
          <w:sz w:val="24"/>
          <w:szCs w:val="24"/>
        </w:rPr>
        <w:t xml:space="preserve">4.3. تُسجل نتيجة كل تقييم في نموذج أداء المورد (FRM-SAT-04) وتُشارك مع المورد.</w:t>
      </w:r>
    </w:p>
    <w:p>
      <w:pPr>
        <w:pStyle w:val="ListeParagraf"/>
        <w:bidi/>
        <w:spacing w:after="80"/>
        <w:ind w:left="0" w:right="709"/>
        <w:jc w:val="both"/>
      </w:pPr>
      <w:r>
        <w:rPr>
          <w:rFonts w:ascii="Calibri" w:hAnsi="Calibri" w:cs="Arial"/>
          <w:rtl/>
          <w:sz w:val="24"/>
          <w:szCs w:val="24"/>
        </w:rPr>
        <w:t xml:space="preserve">4.4. يُعاد تقييم كل مورد معتمد مرة واحدة على الأقل سنويًا من سجل الدرجات وصلاحية الشهادات، وبالتدقيق عند الحاجة؛ ويبقى المورد الذي انتهت صلاحية شهادته في حالة اعتماد مشروط إلى حين تجديدها.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الإجراءات التصحيحية والتطوير</w:t>
      </w:r>
    </w:p>
    <w:p>
      <w:pPr>
        <w:pStyle w:val="ListeParagraf"/>
        <w:bidi/>
        <w:spacing w:after="80"/>
        <w:ind w:left="0" w:right="709"/>
        <w:jc w:val="both"/>
      </w:pPr>
      <w:r>
        <w:rPr>
          <w:rFonts w:ascii="Calibri" w:hAnsi="Calibri" w:cs="Arial"/>
          <w:rtl/>
          <w:sz w:val="24"/>
          <w:szCs w:val="24"/>
        </w:rPr>
        <w:t xml:space="preserve">5.1. يُطلب من الموردين في الفئة C والموردين الذين لديهم دفعة مرفوضة أو نتائج تدقيق حرجة تقديم خطة إجراءات تصحيحية؛ ويُرسل نموذج طلب الإجراء التصحيحي من المورد (FRM-TED-02) ويُطلب تقرير 8D (TLM-TED-03).</w:t>
      </w:r>
    </w:p>
    <w:p>
      <w:pPr>
        <w:pStyle w:val="ListeParagraf"/>
        <w:bidi/>
        <w:spacing w:after="80"/>
        <w:ind w:left="0" w:right="709"/>
        <w:jc w:val="both"/>
      </w:pPr>
      <w:r>
        <w:rPr>
          <w:rFonts w:ascii="Calibri" w:hAnsi="Calibri" w:cs="Arial"/>
          <w:rtl/>
          <w:sz w:val="24"/>
          <w:szCs w:val="24"/>
        </w:rPr>
        <w:t xml:space="preserve">5.2. يقدم المورد الاستجابة الأولى (الاحتواء) خلال 24 ساعة ويقدم السبب الجذري والإجراء التصحيحي خلال 30 يومًا كحد أقصى (10 أيام عمل لحالات عدم مطابقة المنتج)؛ ويراجع ضمان الجودة التقرير ويطلبه مجددًا إذا كان غير كافٍ.</w:t>
      </w:r>
    </w:p>
    <w:p>
      <w:pPr>
        <w:pStyle w:val="ListeParagraf"/>
        <w:bidi/>
        <w:spacing w:after="80"/>
        <w:ind w:left="0" w:right="709"/>
        <w:jc w:val="both"/>
      </w:pPr>
      <w:r>
        <w:rPr>
          <w:rFonts w:ascii="Calibri" w:hAnsi="Calibri" w:cs="Arial"/>
          <w:rtl/>
          <w:sz w:val="24"/>
          <w:szCs w:val="24"/>
        </w:rPr>
        <w:t xml:space="preserve">5.3. يُتحقق من الفعالية في الدفعات الثلاث المتتالية التالية، بتدقيق متابعة أو بمراجعة الأدلة؛ ولا تُغلق الحالة قبل ذلك (EMS.KS.PRO.22.03).</w:t>
      </w:r>
    </w:p>
    <w:p>
      <w:pPr>
        <w:pStyle w:val="ListeParagraf"/>
        <w:bidi/>
        <w:spacing w:after="80"/>
        <w:ind w:left="0" w:right="709"/>
        <w:jc w:val="both"/>
      </w:pPr>
      <w:r>
        <w:rPr>
          <w:rFonts w:ascii="Calibri" w:hAnsi="Calibri" w:cs="Arial"/>
          <w:rtl/>
          <w:sz w:val="24"/>
          <w:szCs w:val="24"/>
        </w:rPr>
        <w:t xml:space="preserve">5.4. في حالة النتائج التي لا تسامح فيها (عمالة الأطفال أو العمل الجبري أو التعاقد من الباطن غير المصرح به أو الرشوة أو خطر جسيم على السلامة) تُوقف الطلبيات فورًا وتُبلغ الحالة إلى المدير العام، وإلى العميل عند الاقتضاء.</w:t>
      </w:r>
    </w:p>
    <w:p>
      <w:pPr>
        <w:pStyle w:val="ListeParagraf"/>
        <w:bidi/>
        <w:spacing w:after="80"/>
        <w:ind w:left="0" w:right="709"/>
        <w:jc w:val="both"/>
      </w:pPr>
      <w:r>
        <w:rPr>
          <w:rFonts w:ascii="Calibri" w:hAnsi="Calibri" w:cs="Arial"/>
          <w:rtl/>
          <w:sz w:val="24"/>
          <w:szCs w:val="24"/>
        </w:rPr>
        <w:t xml:space="preserve">5.5. عندما تؤثر عدم المطابقة على منتجات EMS المنتجة بالفعل، تُتتبع المنتجات المتأثرة وتُعزل وتُعالج وفق EMS.KS.PRO.22.02.</w:t>
      </w:r>
    </w:p>
    <w:p>
      <w:pPr>
        <w:pStyle w:val="ListeParagraf"/>
        <w:bidi/>
        <w:spacing w:after="80"/>
        <w:ind w:left="0" w:right="709"/>
        <w:jc w:val="both"/>
      </w:pPr>
      <w:r>
        <w:rPr>
          <w:rFonts w:ascii="Calibri" w:hAnsi="Calibri" w:cs="Arial"/>
          <w:rtl/>
          <w:sz w:val="24"/>
          <w:szCs w:val="24"/>
        </w:rPr>
        <w:t xml:space="preserve">5.6. تؤدي حالات عدم المطابقة المتكررة إلى فحص إضافي أو تدقيق ميداني أو تطوير مصدر بديل أو الحذف من قائمة الموردين المعتمدين؛ ويُعطى الموردون ذوو الأداء الجيد الأولوية في الطلبيات الجديدة.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يعرض مدير المشتريات المؤشرات التالية سنويًا (للموردين الحرجين: كل ستة أشهر) في مراجعة الإدارة:</w:t>
      </w:r>
    </w:p>
    <w:p>
      <w:pPr>
        <w:pStyle w:val="ListeParagraf"/>
        <w:numPr>
          <w:ilvl w:val="0"/>
          <w:numId w:val="1"/>
        </w:numPr>
        <w:bidi/>
        <w:spacing w:after="60"/>
        <w:jc w:val="both"/>
      </w:pPr>
      <w:r>
        <w:rPr>
          <w:rFonts w:ascii="Calibri" w:hAnsi="Calibri" w:cs="Arial"/>
          <w:rtl/>
          <w:sz w:val="24"/>
          <w:szCs w:val="24"/>
        </w:rPr>
        <w:t xml:space="preserve">نسبة الموردين الحرجين الذين تم تقييمهم وتدقيقهم في الموعد (%)،</w:t>
      </w:r>
    </w:p>
    <w:p>
      <w:pPr>
        <w:pStyle w:val="ListeParagraf"/>
        <w:numPr>
          <w:ilvl w:val="0"/>
          <w:numId w:val="1"/>
        </w:numPr>
        <w:bidi/>
        <w:spacing w:after="60"/>
        <w:jc w:val="both"/>
      </w:pPr>
      <w:r>
        <w:rPr>
          <w:rFonts w:ascii="Calibri" w:hAnsi="Calibri" w:cs="Arial"/>
          <w:rtl/>
          <w:sz w:val="24"/>
          <w:szCs w:val="24"/>
        </w:rPr>
        <w:t xml:space="preserve">الموردون الذين لم يُجرَ لهم تقييم سنوي (الهدف: 0)،</w:t>
      </w:r>
    </w:p>
    <w:p>
      <w:pPr>
        <w:pStyle w:val="ListeParagraf"/>
        <w:numPr>
          <w:ilvl w:val="0"/>
          <w:numId w:val="1"/>
        </w:numPr>
        <w:bidi/>
        <w:spacing w:after="60"/>
        <w:jc w:val="both"/>
      </w:pPr>
      <w:r>
        <w:rPr>
          <w:rFonts w:ascii="Calibri" w:hAnsi="Calibri" w:cs="Arial"/>
          <w:rtl/>
          <w:sz w:val="24"/>
          <w:szCs w:val="24"/>
        </w:rPr>
        <w:t xml:space="preserve">المشتريات من موردين غير معتمدين (الهدف: 0)،</w:t>
      </w:r>
    </w:p>
    <w:p>
      <w:pPr>
        <w:pStyle w:val="ListeParagraf"/>
        <w:numPr>
          <w:ilvl w:val="0"/>
          <w:numId w:val="1"/>
        </w:numPr>
        <w:bidi/>
        <w:spacing w:after="60"/>
        <w:jc w:val="both"/>
      </w:pPr>
      <w:r>
        <w:rPr>
          <w:rFonts w:ascii="Calibri" w:hAnsi="Calibri" w:cs="Arial"/>
          <w:rtl/>
          <w:sz w:val="24"/>
          <w:szCs w:val="24"/>
        </w:rPr>
        <w:t xml:space="preserve">نسبة قبول الدفعات (هدف إرشادي: 98% على الأقل) وPPM وOTIF (هدف إرشادي: 95% على الأقل)،</w:t>
      </w:r>
    </w:p>
    <w:p>
      <w:pPr>
        <w:pStyle w:val="ListeParagraf"/>
        <w:numPr>
          <w:ilvl w:val="0"/>
          <w:numId w:val="1"/>
        </w:numPr>
        <w:bidi/>
        <w:spacing w:after="60"/>
        <w:jc w:val="both"/>
      </w:pPr>
      <w:r>
        <w:rPr>
          <w:rFonts w:ascii="Calibri" w:hAnsi="Calibri" w:cs="Arial"/>
          <w:rtl/>
          <w:sz w:val="24"/>
          <w:szCs w:val="24"/>
        </w:rPr>
        <w:t xml:space="preserve">توزيع الموردين حسب الفئة (A وB وC وD)،</w:t>
      </w:r>
    </w:p>
    <w:p>
      <w:pPr>
        <w:pStyle w:val="ListeParagraf"/>
        <w:numPr>
          <w:ilvl w:val="0"/>
          <w:numId w:val="1"/>
        </w:numPr>
        <w:bidi/>
        <w:spacing w:after="60"/>
        <w:jc w:val="both"/>
      </w:pPr>
      <w:r>
        <w:rPr>
          <w:rFonts w:ascii="Calibri" w:hAnsi="Calibri" w:cs="Arial"/>
          <w:rtl/>
          <w:sz w:val="24"/>
          <w:szCs w:val="24"/>
        </w:rPr>
        <w:t xml:space="preserve">عدد الإجراءات التصحيحية المفتوحة لدى الموردين.</w:t>
      </w:r>
    </w:p>
    <w:p>
      <w:pPr>
        <w:pStyle w:val="ListeParagraf"/>
        <w:bidi/>
        <w:spacing w:after="80"/>
        <w:ind w:left="0" w:right="709"/>
        <w:jc w:val="both"/>
      </w:pPr>
      <w:r>
        <w:rPr>
          <w:rFonts w:ascii="Calibri" w:hAnsi="Calibri" w:cs="Arial"/>
          <w:rtl/>
          <w:sz w:val="24"/>
          <w:szCs w:val="24"/>
        </w:rPr>
        <w:t xml:space="preserve">6.2. تُحدد الأهداف والحدود في مواصفات العميل وسياسة الشركة وتُحدّث عند الحاجة.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استبيان تقييم المورد وقائمة فحص تدقيق المورد (FRM-SAT-01)</w:t>
      </w:r>
    </w:p>
    <w:p>
      <w:pPr>
        <w:pStyle w:val="ListeParagraf"/>
        <w:numPr>
          <w:ilvl w:val="0"/>
          <w:numId w:val="1"/>
        </w:numPr>
        <w:bidi/>
        <w:spacing w:after="60"/>
        <w:jc w:val="both"/>
      </w:pPr>
      <w:r>
        <w:rPr>
          <w:rFonts w:ascii="Calibri" w:hAnsi="Calibri" w:cs="Arial"/>
          <w:rtl/>
          <w:sz w:val="24"/>
          <w:szCs w:val="24"/>
        </w:rPr>
        <w:t xml:space="preserve">قائمة الموردين المعتمدين (FRM-TED-01)</w:t>
      </w:r>
    </w:p>
    <w:p>
      <w:pPr>
        <w:pStyle w:val="ListeParagraf"/>
        <w:numPr>
          <w:ilvl w:val="0"/>
          <w:numId w:val="1"/>
        </w:numPr>
        <w:bidi/>
        <w:spacing w:after="60"/>
        <w:jc w:val="both"/>
      </w:pPr>
      <w:r>
        <w:rPr>
          <w:rFonts w:ascii="Calibri" w:hAnsi="Calibri" w:cs="Arial"/>
          <w:rtl/>
          <w:sz w:val="24"/>
          <w:szCs w:val="24"/>
        </w:rPr>
        <w:t xml:space="preserve">نموذج أداء المورد وبطاقات التقييم (FRM-SAT-04)</w:t>
      </w:r>
    </w:p>
    <w:p>
      <w:pPr>
        <w:pStyle w:val="ListeParagraf"/>
        <w:numPr>
          <w:ilvl w:val="0"/>
          <w:numId w:val="1"/>
        </w:numPr>
        <w:bidi/>
        <w:spacing w:after="60"/>
        <w:jc w:val="both"/>
      </w:pPr>
      <w:r>
        <w:rPr>
          <w:rFonts w:ascii="Calibri" w:hAnsi="Calibri" w:cs="Arial"/>
          <w:rtl/>
          <w:sz w:val="24"/>
          <w:szCs w:val="24"/>
        </w:rPr>
        <w:t xml:space="preserve">EMS.QA.FRM.07.19. نموذج فحص الغزل الوارد وتقييم المورد</w:t>
      </w:r>
    </w:p>
    <w:p>
      <w:pPr>
        <w:pStyle w:val="ListeParagraf"/>
        <w:numPr>
          <w:ilvl w:val="0"/>
          <w:numId w:val="1"/>
        </w:numPr>
        <w:bidi/>
        <w:spacing w:after="60"/>
        <w:jc w:val="both"/>
      </w:pPr>
      <w:r>
        <w:rPr>
          <w:rFonts w:ascii="Calibri" w:hAnsi="Calibri" w:cs="Arial"/>
          <w:rtl/>
          <w:sz w:val="24"/>
          <w:szCs w:val="24"/>
        </w:rPr>
        <w:t xml:space="preserve">نموذج طلب الإجراء التصحيحي من المورد (FRM-TED-02) وخطط الإجراءات التصحيحية للموردين</w:t>
      </w:r>
    </w:p>
    <w:p>
      <w:pPr>
        <w:pStyle w:val="ListeParagraf"/>
        <w:numPr>
          <w:ilvl w:val="0"/>
          <w:numId w:val="1"/>
        </w:numPr>
        <w:bidi/>
        <w:spacing w:after="60"/>
        <w:jc w:val="both"/>
      </w:pPr>
      <w:r>
        <w:rPr>
          <w:rFonts w:ascii="Calibri" w:hAnsi="Calibri" w:cs="Arial"/>
          <w:rtl/>
          <w:sz w:val="24"/>
          <w:szCs w:val="24"/>
        </w:rPr>
        <w:t xml:space="preserve">مدونة قواعد سلوك الموردين وإقرارات مكافحة الرشوة</w:t>
      </w:r>
    </w:p>
    <w:p>
      <w:pPr>
        <w:pStyle w:val="ListeParagraf"/>
        <w:numPr>
          <w:ilvl w:val="0"/>
          <w:numId w:val="1"/>
        </w:numPr>
        <w:bidi/>
        <w:spacing w:after="60"/>
        <w:jc w:val="both"/>
      </w:pPr>
      <w:r>
        <w:rPr>
          <w:rFonts w:ascii="Calibri" w:hAnsi="Calibri" w:cs="Arial"/>
          <w:rtl/>
          <w:sz w:val="24"/>
          <w:szCs w:val="24"/>
        </w:rPr>
        <w:t xml:space="preserve">PRS-SAT-01 إجراء اختيار الموردين وتقييمهم؛ PRS-TED-01 إجراء إدارة الموردين</w:t>
      </w:r>
    </w:p>
    <w:p>
      <w:pPr>
        <w:pStyle w:val="ListeParagraf"/>
        <w:numPr>
          <w:ilvl w:val="0"/>
          <w:numId w:val="1"/>
        </w:numPr>
        <w:bidi/>
        <w:spacing w:after="60"/>
        <w:jc w:val="both"/>
      </w:pPr>
      <w:r>
        <w:rPr>
          <w:rFonts w:ascii="Calibri" w:hAnsi="Calibri" w:cs="Arial"/>
          <w:rtl/>
          <w:sz w:val="24"/>
          <w:szCs w:val="24"/>
        </w:rPr>
        <w:t xml:space="preserve">TLM-SAT-01 وTLM-SAT-04 وTLM-TED-01 وTLM-TED-02 وTLM-TED-03</w:t>
      </w:r>
    </w:p>
    <w:p>
      <w:pPr>
        <w:pStyle w:val="ListeParagraf"/>
        <w:numPr>
          <w:ilvl w:val="0"/>
          <w:numId w:val="1"/>
        </w:numPr>
        <w:bidi/>
        <w:spacing w:after="60"/>
        <w:jc w:val="both"/>
      </w:pPr>
      <w:r>
        <w:rPr>
          <w:rFonts w:ascii="Calibri" w:hAnsi="Calibri" w:cs="Arial"/>
          <w:rtl/>
          <w:sz w:val="24"/>
          <w:szCs w:val="24"/>
        </w:rPr>
        <w:t xml:space="preserve">EMS.SA.POL.04.01. سياسة المشتريات</w:t>
      </w:r>
    </w:p>
    <w:p>
      <w:pPr>
        <w:pStyle w:val="ListeParagraf"/>
        <w:numPr>
          <w:ilvl w:val="0"/>
          <w:numId w:val="1"/>
        </w:numPr>
        <w:bidi/>
        <w:spacing w:after="60"/>
        <w:jc w:val="both"/>
      </w:pPr>
      <w:r>
        <w:rPr>
          <w:rFonts w:ascii="Calibri" w:hAnsi="Calibri" w:cs="Arial"/>
          <w:rtl/>
          <w:sz w:val="24"/>
          <w:szCs w:val="24"/>
        </w:rPr>
        <w:t xml:space="preserve">EMS.SA.PRO.04.02. إجراء المشتريات</w:t>
      </w:r>
    </w:p>
    <w:p>
      <w:pPr>
        <w:pStyle w:val="ListeParagraf"/>
        <w:numPr>
          <w:ilvl w:val="0"/>
          <w:numId w:val="1"/>
        </w:numPr>
        <w:bidi/>
        <w:spacing w:after="60"/>
        <w:jc w:val="both"/>
      </w:pPr>
      <w:r>
        <w:rPr>
          <w:rFonts w:ascii="Calibri" w:hAnsi="Calibri" w:cs="Arial"/>
          <w:rtl/>
          <w:sz w:val="24"/>
          <w:szCs w:val="24"/>
        </w:rPr>
        <w:t xml:space="preserve">EMS.SA.PRO.04.04. إجراء ضبط العمليات المسندة لمقاولين من الباطن</w:t>
      </w:r>
    </w:p>
    <w:p>
      <w:pPr>
        <w:pStyle w:val="ListeParagraf"/>
        <w:numPr>
          <w:ilvl w:val="0"/>
          <w:numId w:val="1"/>
        </w:numPr>
        <w:bidi/>
        <w:spacing w:after="60"/>
        <w:jc w:val="both"/>
      </w:pPr>
      <w:r>
        <w:rPr>
          <w:rFonts w:ascii="Calibri" w:hAnsi="Calibri" w:cs="Arial"/>
          <w:rtl/>
          <w:sz w:val="24"/>
          <w:szCs w:val="24"/>
        </w:rPr>
        <w:t xml:space="preserve">EMS.KM.PRO.20.04. إجراء شراء الكيماويات</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أثناء الإنتاج، النهائي AQL)</w:t>
      </w:r>
    </w:p>
    <w:p>
      <w:pPr>
        <w:pStyle w:val="ListeParagraf"/>
        <w:numPr>
          <w:ilvl w:val="0"/>
          <w:numId w:val="1"/>
        </w:numPr>
        <w:bidi/>
        <w:spacing w:after="60"/>
        <w:jc w:val="both"/>
      </w:pPr>
      <w:r>
        <w:rPr>
          <w:rFonts w:ascii="Calibri" w:hAnsi="Calibri" w:cs="Arial"/>
          <w:rtl/>
          <w:sz w:val="24"/>
          <w:szCs w:val="24"/>
        </w:rPr>
        <w:t xml:space="preserve">EMS.KS.PRO.22.02. إجراء ضبط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EMS.İK.PRO.01.05. إجراء مكافحة الرشوة والفساد</w:t>
      </w:r>
    </w:p>
    <w:p>
      <w:pPr>
        <w:pStyle w:val="ListeParagraf"/>
        <w:numPr>
          <w:ilvl w:val="0"/>
          <w:numId w:val="1"/>
        </w:numPr>
        <w:bidi/>
        <w:spacing w:after="60"/>
        <w:jc w:val="both"/>
      </w:pPr>
      <w:r>
        <w:rPr>
          <w:rFonts w:ascii="Calibri" w:hAnsi="Calibri" w:cs="Arial"/>
          <w:rtl/>
          <w:sz w:val="24"/>
          <w:szCs w:val="24"/>
        </w:rPr>
        <w:t xml:space="preserve">EMS.SR.PRO.16.03. إجراء التوريد المسؤول للمواد الخام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المشتريات بالتعاون مع ضمان الجودة وفريق المسؤولية الاجتماعية. وتُقيّم نتائج التدقيق ومتطلبات العملاء وملاحظات الموردين، ويُعدل الإجراء عند الحاجة. وتُحفظ السجلات لمدة ثلاث سنوات.</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Satın Alma Müdürü  ..........................</w:t>
      </w:r>
    </w:p>
    <w:p>
      <w:pPr>
        <w:pStyle w:val="ListeParagraf"/>
        <w:spacing w:before="40" w:after="0"/>
        <w:ind w:left="709"/>
      </w:pPr>
      <w:r>
        <w:rPr>
          <w:rFonts w:ascii="Calibri" w:hAnsi="Calibri" w:cs="Calibri"/>
          <w:b/>
          <w:bCs/>
          <w:sz w:val="20"/>
          <w:szCs w:val="20"/>
        </w:rPr>
        <w:t xml:space="preserve">Kontrol: Satın Alma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SUPPLIER AND SUBCONTRACTOR EVALUATION PROCEDURE</w:t>
          </w:r>
        </w:p>
        <w:p>
          <w:pPr>
            <w:pStyle w:val="GvdeMetni2"/>
            <w:bidi/>
            <w:spacing w:line="276" w:lineRule="auto"/>
            <w:jc w:val="center"/>
          </w:pPr>
          <w:r>
            <w:rPr>
              <w:rFonts w:asciiTheme="minorHAnsi" w:hAnsiTheme="minorHAnsi" w:cs="Arial"/>
              <w:b/>
              <w:bCs/>
              <w:color w:val="000000" w:themeColor="text1"/>
              <w:sz w:val="22"/>
              <w:szCs w:val="22"/>
              <w:rtl/>
            </w:rPr>
            <w:t>إجراء تقييم الموردين والمقاولين من الباطن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EMS.SA.PRO.04.03.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EMS.SA.PRO.04.03. SUPPLIER AND SUBCONTRACTOR EVALUATION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