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internal audits of the integrated management system are planned and carried out, and how nonconformities from any source are recorded, analysed, corrected and verified at Eroglu Knitting (EMS), in order to ensure the effectiveness of the system and to prevent recurrence, in line with ISO 9001:2015 clauses 9.2 and 10.2 and the guidelines of ISO 19011:2018.</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internal audits against ISO 9001, ISO 14001, ISO 45001 and social compliance requirements, and nonconformities arising from audits (internal, customer, second- and third-party), customer complaints, process and product failures, incidents and legal non-compliance. It covers all departments, processes, shifts and locations, including the spinning, knitting, dyehouse and garment areas.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annual audit programme and provides the resources for corrective actions.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Management System Coordinator / Quality Assurance Manager:</w:t>
      </w:r>
      <w:r>
        <w:rPr>
          <w:rFonts w:ascii="Calibri" w:hAnsi="Calibri" w:cs="Arial"/>
          <w:sz w:val="24"/>
          <w:szCs w:val="24"/>
        </w:rPr>
        <w:t xml:space="preserve"> Prepares the audit programme, assigns auditors, keeps the nonconformity and corrective action register and follows actions until closure.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Lead Auditor:</w:t>
      </w:r>
      <w:r>
        <w:rPr>
          <w:rFonts w:ascii="Calibri" w:hAnsi="Calibri" w:cs="Arial"/>
          <w:sz w:val="24"/>
          <w:szCs w:val="24"/>
        </w:rPr>
        <w:t xml:space="preserve"> Manages the audit team, prepares and presents the audit report.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Internal Auditors:</w:t>
      </w:r>
      <w:r>
        <w:rPr>
          <w:rFonts w:ascii="Calibri" w:hAnsi="Calibri" w:cs="Arial"/>
          <w:sz w:val="24"/>
          <w:szCs w:val="24"/>
        </w:rPr>
        <w:t xml:space="preserve"> Plan and conduct audits impartially, record findings with objective evidence and verify corrective actions.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Take part in audits, analyse root causes and implement corrective actions in their areas within the agreed dates.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Social Compliance Officer:</w:t>
      </w:r>
      <w:r>
        <w:rPr>
          <w:rFonts w:ascii="Calibri" w:hAnsi="Calibri" w:cs="Arial"/>
          <w:sz w:val="24"/>
          <w:szCs w:val="24"/>
        </w:rPr>
        <w:t xml:space="preserve"> Contributes to audits on code of conduct and compliance topics.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Internal Audit:</w:t>
      </w:r>
      <w:r>
        <w:rPr>
          <w:rFonts w:ascii="Calibri" w:hAnsi="Calibri" w:cs="Arial"/>
          <w:sz w:val="24"/>
          <w:szCs w:val="24"/>
        </w:rPr>
        <w:t xml:space="preserve"> A systematic, independent and documented examination carried out by the organisation’s own personnel to determine whether the system is implemented and effective.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Audit Evidence:</w:t>
      </w:r>
      <w:r>
        <w:rPr>
          <w:rFonts w:ascii="Calibri" w:hAnsi="Calibri" w:cs="Arial"/>
          <w:sz w:val="24"/>
          <w:szCs w:val="24"/>
        </w:rPr>
        <w:t xml:space="preserve"> Verifiable records, statements of fact or other information relevant to the audit criteria.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Nonconformity:</w:t>
      </w:r>
      <w:r>
        <w:rPr>
          <w:rFonts w:ascii="Calibri" w:hAnsi="Calibri" w:cs="Arial"/>
          <w:sz w:val="24"/>
          <w:szCs w:val="24"/>
        </w:rPr>
        <w:t xml:space="preserve"> Non-fulfilment of a requirement (standard, legal, customer or internal).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Major Nonconformity:</w:t>
      </w:r>
      <w:r>
        <w:rPr>
          <w:rFonts w:ascii="Calibri" w:hAnsi="Calibri" w:cs="Arial"/>
          <w:sz w:val="24"/>
          <w:szCs w:val="24"/>
        </w:rPr>
        <w:t xml:space="preserve"> Complete failure to meet a requirement or a systemic breakdown.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Minor Nonconformity:</w:t>
      </w:r>
      <w:r>
        <w:rPr>
          <w:rFonts w:ascii="Calibri" w:hAnsi="Calibri" w:cs="Arial"/>
          <w:sz w:val="24"/>
          <w:szCs w:val="24"/>
        </w:rPr>
        <w:t xml:space="preserve"> An isolated lapse that does not break down the system.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Correction:</w:t>
      </w:r>
      <w:r>
        <w:rPr>
          <w:rFonts w:ascii="Calibri" w:hAnsi="Calibri" w:cs="Arial"/>
          <w:sz w:val="24"/>
          <w:szCs w:val="24"/>
        </w:rPr>
        <w:t xml:space="preserve"> Immediate action taken to eliminate a detected nonconformity.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Corrective Action:</w:t>
      </w:r>
      <w:r>
        <w:rPr>
          <w:rFonts w:ascii="Calibri" w:hAnsi="Calibri" w:cs="Arial"/>
          <w:sz w:val="24"/>
          <w:szCs w:val="24"/>
        </w:rPr>
        <w:t xml:space="preserve"> Action taken to eliminate the root cause of a nonconformity and to prevent it from happening again.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Observation / Opportunity for Improvement:</w:t>
      </w:r>
      <w:r>
        <w:rPr>
          <w:rFonts w:ascii="Calibri" w:hAnsi="Calibri" w:cs="Arial"/>
          <w:sz w:val="24"/>
          <w:szCs w:val="24"/>
        </w:rPr>
        <w:t xml:space="preserve"> A finding that is not a nonconformity but may become one or may improve performance.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Independence:</w:t>
      </w:r>
      <w:r>
        <w:rPr>
          <w:rFonts w:ascii="Calibri" w:hAnsi="Calibri" w:cs="Arial"/>
          <w:sz w:val="24"/>
          <w:szCs w:val="24"/>
        </w:rPr>
        <w:t xml:space="preserve"> The auditor does not audit his or her own activity.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AUDIT PROGRAMME</w:t>
      </w:r>
    </w:p>
    <w:p>
      <w:pPr>
        <w:pStyle w:val="ListeParagraf"/>
        <w:spacing w:after="80"/>
        <w:ind w:left="709" w:right="0"/>
        <w:jc w:val="both"/>
      </w:pPr>
      <w:r>
        <w:rPr>
          <w:rFonts w:ascii="Calibri" w:hAnsi="Calibri" w:cs="Arial"/>
          <w:sz w:val="24"/>
          <w:szCs w:val="24"/>
        </w:rPr>
        <w:t xml:space="preserve">1.1. At the beginning of each year, the Management System Coordinator prepares an annual audit programme so that every process and every shift is audited at least once a year.</w:t>
      </w:r>
    </w:p>
    <w:p>
      <w:pPr>
        <w:pStyle w:val="ListeParagraf"/>
        <w:spacing w:after="80"/>
        <w:ind w:left="709" w:right="0"/>
        <w:jc w:val="both"/>
      </w:pPr>
      <w:r>
        <w:rPr>
          <w:rFonts w:ascii="Calibri" w:hAnsi="Calibri" w:cs="Arial"/>
          <w:sz w:val="24"/>
          <w:szCs w:val="24"/>
        </w:rPr>
        <w:t xml:space="preserve">1.2. Processes with high risk, previous nonconformities or customer complaints are audited more frequently.</w:t>
      </w:r>
    </w:p>
    <w:p>
      <w:pPr>
        <w:pStyle w:val="ListeParagraf"/>
        <w:spacing w:after="80"/>
        <w:ind w:left="709" w:right="0"/>
        <w:jc w:val="both"/>
      </w:pPr>
      <w:r>
        <w:rPr>
          <w:rFonts w:ascii="Calibri" w:hAnsi="Calibri" w:cs="Arial"/>
          <w:sz w:val="24"/>
          <w:szCs w:val="24"/>
        </w:rPr>
        <w:t xml:space="preserve">1.3. The programme is based on the importance of the processes, previous audit results, risks, changes, complaints and customer findings; high-risk processes (yarn, chemicals, metal control, social compliance) are audited more often.</w:t>
      </w:r>
    </w:p>
    <w:p>
      <w:pPr>
        <w:pStyle w:val="ListeParagraf"/>
        <w:spacing w:after="80"/>
        <w:ind w:left="709" w:right="0"/>
        <w:jc w:val="both"/>
      </w:pPr>
      <w:r>
        <w:rPr>
          <w:rFonts w:ascii="Calibri" w:hAnsi="Calibri" w:cs="Arial"/>
          <w:sz w:val="24"/>
          <w:szCs w:val="24"/>
        </w:rPr>
        <w:t xml:space="preserve">1.4. The programme is approved by the General Manager and announced to the departments. Unplanned audits are carried out when needed, for example after a serious complaint or incident.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AUDITOR COMPETENCE</w:t>
      </w:r>
    </w:p>
    <w:p>
      <w:pPr>
        <w:pStyle w:val="ListeParagraf"/>
        <w:spacing w:after="80"/>
        <w:ind w:left="709" w:right="0"/>
        <w:jc w:val="both"/>
      </w:pPr>
      <w:r>
        <w:rPr>
          <w:rFonts w:ascii="Calibri" w:hAnsi="Calibri" w:cs="Arial"/>
          <w:sz w:val="24"/>
          <w:szCs w:val="24"/>
        </w:rPr>
        <w:t xml:space="preserve">2.1. Internal auditors are trained in ISO 9001, ISO 14001, ISO 45001 and audit techniques, and the list of qualified auditors is kept.</w:t>
      </w:r>
    </w:p>
    <w:p>
      <w:pPr>
        <w:pStyle w:val="ListeParagraf"/>
        <w:spacing w:after="80"/>
        <w:ind w:left="709" w:right="0"/>
        <w:jc w:val="both"/>
      </w:pPr>
      <w:r>
        <w:rPr>
          <w:rFonts w:ascii="Calibri" w:hAnsi="Calibri" w:cs="Arial"/>
          <w:sz w:val="24"/>
          <w:szCs w:val="24"/>
        </w:rPr>
        <w:t xml:space="preserve">2.2. Auditors do not audit their own work or department, to ensure objectivity and impartiality.</w:t>
      </w:r>
    </w:p>
    <w:p>
      <w:pPr>
        <w:pStyle w:val="ListeParagraf"/>
        <w:spacing w:after="80"/>
        <w:ind w:left="709" w:right="0"/>
        <w:jc w:val="both"/>
      </w:pPr>
      <w:r>
        <w:rPr>
          <w:rFonts w:ascii="Calibri" w:hAnsi="Calibri" w:cs="Arial"/>
          <w:sz w:val="24"/>
          <w:szCs w:val="24"/>
        </w:rPr>
        <w:t xml:space="preserve">2.3. The auditor competence is verified in the skills matrix and renewed through periodic training and evaluation of audit performance.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CONDUCTING THE AUDIT</w:t>
      </w:r>
    </w:p>
    <w:p>
      <w:pPr>
        <w:pStyle w:val="ListeParagraf"/>
        <w:spacing w:after="80"/>
        <w:ind w:left="709" w:right="0"/>
        <w:jc w:val="both"/>
      </w:pPr>
      <w:r>
        <w:rPr>
          <w:rFonts w:ascii="Calibri" w:hAnsi="Calibri" w:cs="Arial"/>
          <w:sz w:val="24"/>
          <w:szCs w:val="24"/>
        </w:rPr>
        <w:t xml:space="preserve">3.1. The audit plan (date, scope, criteria, auditors) is sent to the audited department at least one week before the audit.</w:t>
      </w:r>
    </w:p>
    <w:p>
      <w:pPr>
        <w:pStyle w:val="ListeParagraf"/>
        <w:spacing w:after="80"/>
        <w:ind w:left="709" w:right="0"/>
        <w:jc w:val="both"/>
      </w:pPr>
      <w:r>
        <w:rPr>
          <w:rFonts w:ascii="Calibri" w:hAnsi="Calibri" w:cs="Arial"/>
          <w:sz w:val="24"/>
          <w:szCs w:val="24"/>
        </w:rPr>
        <w:t xml:space="preserve">3.2. The audit starts with an opening meeting; evidence is collected by interviews, observation and review of records, including on the production floor.</w:t>
      </w:r>
    </w:p>
    <w:p>
      <w:pPr>
        <w:pStyle w:val="ListeParagraf"/>
        <w:spacing w:after="80"/>
        <w:ind w:left="709" w:right="0"/>
        <w:jc w:val="both"/>
      </w:pPr>
      <w:r>
        <w:rPr>
          <w:rFonts w:ascii="Calibri" w:hAnsi="Calibri" w:cs="Arial"/>
          <w:sz w:val="24"/>
          <w:szCs w:val="24"/>
        </w:rPr>
        <w:t xml:space="preserve">3.3. At the closing meeting the findings are explained and classified as major nonconformity, minor nonconformity or observation.</w:t>
      </w:r>
    </w:p>
    <w:p>
      <w:pPr>
        <w:pStyle w:val="ListeParagraf"/>
        <w:spacing w:after="80"/>
        <w:ind w:left="709" w:right="0"/>
        <w:jc w:val="both"/>
      </w:pPr>
      <w:r>
        <w:rPr>
          <w:rFonts w:ascii="Calibri" w:hAnsi="Calibri" w:cs="Arial"/>
          <w:sz w:val="24"/>
          <w:szCs w:val="24"/>
        </w:rPr>
        <w:t xml:space="preserve">3.4. The audit report is issued within 5 working days and the nonconformities are entered in the nonconformity and corrective action register.</w:t>
      </w:r>
    </w:p>
    <w:p>
      <w:pPr>
        <w:pStyle w:val="ListeParagraf"/>
        <w:spacing w:after="80"/>
        <w:ind w:left="709" w:right="0"/>
        <w:jc w:val="both"/>
      </w:pPr>
      <w:r>
        <w:rPr>
          <w:rFonts w:ascii="Calibri" w:hAnsi="Calibri" w:cs="Arial"/>
          <w:sz w:val="24"/>
          <w:szCs w:val="24"/>
        </w:rPr>
        <w:t xml:space="preserve">3.5. The audit checklist is risk-based and prepared clause by clause; open corrective actions and customer findings are added. Each finding is written factually with the situation, the criterion (clause), the evidence and the effect.</w:t>
      </w:r>
    </w:p>
    <w:p>
      <w:pPr>
        <w:pStyle w:val="ListeParagraf"/>
        <w:spacing w:after="80"/>
        <w:ind w:left="709" w:right="0"/>
        <w:jc w:val="both"/>
      </w:pPr>
      <w:r>
        <w:rPr>
          <w:rFonts w:ascii="Calibri" w:hAnsi="Calibri" w:cs="Arial"/>
          <w:sz w:val="24"/>
          <w:szCs w:val="24"/>
        </w:rPr>
        <w:t xml:space="preserve">3.6. Auditors follow the safety rules and PPE requirements of the area, are accompanied near moving machines and do not interrupt production; an urgent hazard found is reported immediately.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NONCONFORMITY AND CORRECTIVE ACTION</w:t>
      </w:r>
    </w:p>
    <w:p>
      <w:pPr>
        <w:pStyle w:val="ListeParagraf"/>
        <w:spacing w:after="80"/>
        <w:ind w:left="709" w:right="0"/>
        <w:jc w:val="both"/>
      </w:pPr>
      <w:r>
        <w:rPr>
          <w:rFonts w:ascii="Calibri" w:hAnsi="Calibri" w:cs="Arial"/>
          <w:sz w:val="24"/>
          <w:szCs w:val="24"/>
        </w:rPr>
        <w:t xml:space="preserve">4.1. Any employee who detects a nonconformity reports it to their manager; it is recorded on the Nonconformity and Corrective Action Form (product nonconformities are handled according to EMS.KS.PRO.22.02.).</w:t>
      </w:r>
    </w:p>
    <w:p>
      <w:pPr>
        <w:pStyle w:val="ListeParagraf"/>
        <w:spacing w:after="80"/>
        <w:ind w:left="709" w:right="0"/>
        <w:jc w:val="both"/>
      </w:pPr>
      <w:r>
        <w:rPr>
          <w:rFonts w:ascii="Calibri" w:hAnsi="Calibri" w:cs="Arial"/>
          <w:sz w:val="24"/>
          <w:szCs w:val="24"/>
        </w:rPr>
        <w:t xml:space="preserve">4.2. The responsible department takes correction immediately to control the effect.</w:t>
      </w:r>
    </w:p>
    <w:p>
      <w:pPr>
        <w:pStyle w:val="ListeParagraf"/>
        <w:spacing w:after="80"/>
        <w:ind w:left="709" w:right="0"/>
        <w:jc w:val="both"/>
      </w:pPr>
      <w:r>
        <w:rPr>
          <w:rFonts w:ascii="Calibri" w:hAnsi="Calibri" w:cs="Arial"/>
          <w:sz w:val="24"/>
          <w:szCs w:val="24"/>
        </w:rPr>
        <w:t xml:space="preserve">4.3. The root cause is analysed using methods such as 5 Whys or the fishbone diagram, and a corrective action plan with responsible persons and target dates is prepared.</w:t>
      </w:r>
    </w:p>
    <w:p>
      <w:pPr>
        <w:pStyle w:val="ListeParagraf"/>
        <w:spacing w:after="80"/>
        <w:ind w:left="709" w:right="0"/>
        <w:jc w:val="both"/>
      </w:pPr>
      <w:r>
        <w:rPr>
          <w:rFonts w:ascii="Calibri" w:hAnsi="Calibri" w:cs="Arial"/>
          <w:sz w:val="24"/>
          <w:szCs w:val="24"/>
        </w:rPr>
        <w:t xml:space="preserve">4.4. Target dates: major nonconformities within 30 days, minor nonconformities within 60 days, unless the customer or certification requirement sets a shorter period.</w:t>
      </w:r>
    </w:p>
    <w:p>
      <w:pPr>
        <w:pStyle w:val="ListeParagraf"/>
        <w:spacing w:after="80"/>
        <w:ind w:left="709" w:right="0"/>
        <w:jc w:val="both"/>
      </w:pPr>
      <w:r>
        <w:rPr>
          <w:rFonts w:ascii="Calibri" w:hAnsi="Calibri" w:cs="Arial"/>
          <w:sz w:val="24"/>
          <w:szCs w:val="24"/>
        </w:rPr>
        <w:t xml:space="preserve">4.5. Where needed, risk assessments, documents and training are updated as part of the corrective action.</w:t>
      </w:r>
    </w:p>
    <w:p>
      <w:pPr>
        <w:pStyle w:val="ListeParagraf"/>
        <w:spacing w:after="80"/>
        <w:ind w:left="709" w:right="0"/>
        <w:jc w:val="both"/>
      </w:pPr>
      <w:r>
        <w:rPr>
          <w:rFonts w:ascii="Calibri" w:hAnsi="Calibri" w:cs="Arial"/>
          <w:sz w:val="24"/>
          <w:szCs w:val="24"/>
        </w:rPr>
        <w:t xml:space="preserve">4.6. For a major nonconformity, the activity at risk is stopped or brought under control immediately and the Quality Assurance Manager is informed on the same day. The department submits the root cause and the corrective action plan within 10 working days.</w:t>
      </w:r>
    </w:p>
    <w:p>
      <w:pPr>
        <w:pStyle w:val="ListeParagraf"/>
        <w:spacing w:after="80"/>
        <w:ind w:left="709" w:right="0"/>
        <w:jc w:val="both"/>
      </w:pPr>
      <w:r>
        <w:rPr>
          <w:rFonts w:ascii="Calibri" w:hAnsi="Calibri" w:cs="Arial"/>
          <w:sz w:val="24"/>
          <w:szCs w:val="24"/>
        </w:rPr>
        <w:t xml:space="preserve">4.7. Similar processes and departments are checked for the same weakness, and the extension of the action is decided.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VERIFICATION AND CLOSURE</w:t>
      </w:r>
    </w:p>
    <w:p>
      <w:pPr>
        <w:pStyle w:val="ListeParagraf"/>
        <w:spacing w:after="80"/>
        <w:ind w:left="709" w:right="0"/>
        <w:jc w:val="both"/>
      </w:pPr>
      <w:r>
        <w:rPr>
          <w:rFonts w:ascii="Calibri" w:hAnsi="Calibri" w:cs="Arial"/>
          <w:sz w:val="24"/>
          <w:szCs w:val="24"/>
        </w:rPr>
        <w:t xml:space="preserve">5.1. After the target date, the auditor or the Management System Coordinator checks whether the action has been implemented and is effective.</w:t>
      </w:r>
    </w:p>
    <w:p>
      <w:pPr>
        <w:pStyle w:val="ListeParagraf"/>
        <w:spacing w:after="80"/>
        <w:ind w:left="709" w:right="0"/>
        <w:jc w:val="both"/>
      </w:pPr>
      <w:r>
        <w:rPr>
          <w:rFonts w:ascii="Calibri" w:hAnsi="Calibri" w:cs="Arial"/>
          <w:sz w:val="24"/>
          <w:szCs w:val="24"/>
        </w:rPr>
        <w:t xml:space="preserve">5.2. If the action is not effective, the nonconformity stays open and a new analysis and action plan are made.</w:t>
      </w:r>
    </w:p>
    <w:p>
      <w:pPr>
        <w:pStyle w:val="ListeParagraf"/>
        <w:spacing w:after="80"/>
        <w:ind w:left="709" w:right="0"/>
        <w:jc w:val="both"/>
      </w:pPr>
      <w:r>
        <w:rPr>
          <w:rFonts w:ascii="Calibri" w:hAnsi="Calibri" w:cs="Arial"/>
          <w:sz w:val="24"/>
          <w:szCs w:val="24"/>
        </w:rPr>
        <w:t xml:space="preserve">5.3. The following indicators are reported in the management review: audit programme completion rate (%), number of nonconformities by process, corrective actions closed on time (%) and repeated nonconformities.</w:t>
      </w:r>
    </w:p>
    <w:p>
      <w:pPr>
        <w:pStyle w:val="ListeParagraf"/>
        <w:spacing w:after="80"/>
        <w:ind w:left="709" w:right="0"/>
        <w:jc w:val="both"/>
      </w:pPr>
      <w:r>
        <w:rPr>
          <w:rFonts w:ascii="Calibri" w:hAnsi="Calibri" w:cs="Arial"/>
          <w:sz w:val="24"/>
          <w:szCs w:val="24"/>
        </w:rPr>
        <w:t xml:space="preserve">5.4. A finding is not closed without evidence and effectiveness verification. Overdue findings are escalated to the General Manager and the management review.</w:t>
      </w:r>
    </w:p>
    <w:p>
      <w:pPr>
        <w:pStyle w:val="ListeParagraf"/>
        <w:spacing w:after="80"/>
        <w:ind w:left="709" w:right="0"/>
        <w:jc w:val="both"/>
      </w:pPr>
      <w:r>
        <w:rPr>
          <w:rFonts w:ascii="Calibri" w:hAnsi="Calibri" w:cs="Arial"/>
          <w:sz w:val="24"/>
          <w:szCs w:val="24"/>
        </w:rPr>
        <w:t xml:space="preserve">5.5. Internal audit and customer findings are followed in one common register, with a single record for the number and status of each finding.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CONTROL POINTS AND TARGETS</w:t>
      </w:r>
    </w:p>
    <w:p>
      <w:pPr>
        <w:pStyle w:val="ListeParagraf"/>
        <w:spacing w:after="80"/>
        <w:ind w:left="709" w:right="0"/>
        <w:jc w:val="both"/>
      </w:pPr>
      <w:r>
        <w:rPr>
          <w:rFonts w:ascii="Calibri" w:hAnsi="Calibri" w:cs="Arial"/>
          <w:sz w:val="24"/>
          <w:szCs w:val="24"/>
        </w:rPr>
        <w:t xml:space="preserve">6.1. Examples of control points, to be updated according to company policy and customer specifications:</w:t>
      </w:r>
    </w:p>
    <w:p>
      <w:pPr>
        <w:pStyle w:val="ListeParagraf"/>
        <w:numPr>
          <w:ilvl w:val="0"/>
          <w:numId w:val="1"/>
        </w:numPr>
        <w:spacing w:after="60"/>
        <w:jc w:val="both"/>
      </w:pPr>
      <w:r>
        <w:rPr>
          <w:rFonts w:ascii="Calibri" w:hAnsi="Calibri" w:cs="Arial"/>
          <w:sz w:val="24"/>
          <w:szCs w:val="24"/>
        </w:rPr>
        <w:t xml:space="preserve">Planned audits completed: 100% (yearly, monthly follow-up),</w:t>
      </w:r>
    </w:p>
    <w:p>
      <w:pPr>
        <w:pStyle w:val="ListeParagraf"/>
        <w:numPr>
          <w:ilvl w:val="0"/>
          <w:numId w:val="1"/>
        </w:numPr>
        <w:spacing w:after="60"/>
        <w:jc w:val="both"/>
      </w:pPr>
      <w:r>
        <w:rPr>
          <w:rFonts w:ascii="Calibri" w:hAnsi="Calibri" w:cs="Arial"/>
          <w:sz w:val="24"/>
          <w:szCs w:val="24"/>
        </w:rPr>
        <w:t xml:space="preserve">Audit report issued within 5 working days,</w:t>
      </w:r>
    </w:p>
    <w:p>
      <w:pPr>
        <w:pStyle w:val="ListeParagraf"/>
        <w:numPr>
          <w:ilvl w:val="0"/>
          <w:numId w:val="1"/>
        </w:numPr>
        <w:spacing w:after="60"/>
        <w:jc w:val="both"/>
      </w:pPr>
      <w:r>
        <w:rPr>
          <w:rFonts w:ascii="Calibri" w:hAnsi="Calibri" w:cs="Arial"/>
          <w:sz w:val="24"/>
          <w:szCs w:val="24"/>
        </w:rPr>
        <w:t xml:space="preserve">Findings closed within the target time, with no overdue open findings,</w:t>
      </w:r>
    </w:p>
    <w:p>
      <w:pPr>
        <w:pStyle w:val="ListeParagraf"/>
        <w:numPr>
          <w:ilvl w:val="0"/>
          <w:numId w:val="1"/>
        </w:numPr>
        <w:spacing w:after="60"/>
        <w:jc w:val="both"/>
      </w:pPr>
      <w:r>
        <w:rPr>
          <w:rFonts w:ascii="Calibri" w:hAnsi="Calibri" w:cs="Arial"/>
          <w:sz w:val="24"/>
          <w:szCs w:val="24"/>
        </w:rPr>
        <w:t xml:space="preserve">Repeated findings: at most 5% (yearly),</w:t>
      </w:r>
    </w:p>
    <w:p>
      <w:pPr>
        <w:pStyle w:val="ListeParagraf"/>
        <w:numPr>
          <w:ilvl w:val="0"/>
          <w:numId w:val="1"/>
        </w:numPr>
        <w:spacing w:after="60"/>
        <w:jc w:val="both"/>
      </w:pPr>
      <w:r>
        <w:rPr>
          <w:rFonts w:ascii="Calibri" w:hAnsi="Calibri" w:cs="Arial"/>
          <w:sz w:val="24"/>
          <w:szCs w:val="24"/>
        </w:rPr>
        <w:t xml:space="preserve">At least four qualified auditors, with independent assignment to all departments.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RECORD KEEPING</w:t>
      </w:r>
    </w:p>
    <w:p>
      <w:pPr>
        <w:pStyle w:val="ListeParagraf"/>
        <w:spacing w:after="80"/>
        <w:ind w:left="709" w:right="0"/>
        <w:jc w:val="both"/>
      </w:pPr>
      <w:r>
        <w:rPr>
          <w:rFonts w:ascii="Calibri" w:hAnsi="Calibri" w:cs="Arial"/>
          <w:sz w:val="24"/>
          <w:szCs w:val="24"/>
        </w:rPr>
        <w:t xml:space="preserve">7.1. The audit programme, plans, reports, finding follow-up forms and the auditor competence records are kept for at least five years in the QMS.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RELATED DOCUMENTS AND RECORDS</w:t>
      </w:r>
    </w:p>
    <w:p>
      <w:pPr>
        <w:pStyle w:val="ListeParagraf"/>
        <w:numPr>
          <w:ilvl w:val="0"/>
          <w:numId w:val="1"/>
        </w:numPr>
        <w:spacing w:after="60"/>
        <w:jc w:val="both"/>
      </w:pPr>
      <w:r>
        <w:rPr>
          <w:rFonts w:ascii="Calibri" w:hAnsi="Calibri" w:cs="Arial"/>
          <w:sz w:val="24"/>
          <w:szCs w:val="24"/>
        </w:rPr>
        <w:t xml:space="preserve">Annual Internal Audit Programme and Audit Plans (PRS-IDN-01, FRM-IDN-01); audit plan and auditor assignment instruction (TLM-IDN-01)</w:t>
      </w:r>
    </w:p>
    <w:p>
      <w:pPr>
        <w:pStyle w:val="ListeParagraf"/>
        <w:numPr>
          <w:ilvl w:val="0"/>
          <w:numId w:val="1"/>
        </w:numPr>
        <w:spacing w:after="60"/>
        <w:jc w:val="both"/>
      </w:pPr>
      <w:r>
        <w:rPr>
          <w:rFonts w:ascii="Calibri" w:hAnsi="Calibri" w:cs="Arial"/>
          <w:sz w:val="24"/>
          <w:szCs w:val="24"/>
        </w:rPr>
        <w:t xml:space="preserve">Internal Audit Reports (FRM-IDN-02) and Qualified Auditor List; audit execution and finding write-up instruction (TLM-IDN-02)</w:t>
      </w:r>
    </w:p>
    <w:p>
      <w:pPr>
        <w:pStyle w:val="ListeParagraf"/>
        <w:numPr>
          <w:ilvl w:val="0"/>
          <w:numId w:val="1"/>
        </w:numPr>
        <w:spacing w:after="60"/>
        <w:jc w:val="both"/>
      </w:pPr>
      <w:r>
        <w:rPr>
          <w:rFonts w:ascii="Calibri" w:hAnsi="Calibri" w:cs="Arial"/>
          <w:sz w:val="24"/>
          <w:szCs w:val="24"/>
        </w:rPr>
        <w:t xml:space="preserve">Nonconformity and Corrective Action Form and Register; Finding Follow-up Form (FRM-IDN-03); finding closure verification instruction (TLM-IDN-03)</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EMS.İS.PRO.18.20. Internal OHS Auditing Process and EMS.İS.PRO.18.21. Management Review Procedure</w:t>
      </w:r>
    </w:p>
    <w:p>
      <w:pPr>
        <w:pStyle w:val="ListeParagraf"/>
        <w:numPr>
          <w:ilvl w:val="0"/>
          <w:numId w:val="1"/>
        </w:numPr>
        <w:spacing w:after="60"/>
        <w:jc w:val="both"/>
      </w:pPr>
      <w:r>
        <w:rPr>
          <w:rFonts w:ascii="Calibri" w:hAnsi="Calibri" w:cs="Arial"/>
          <w:sz w:val="24"/>
          <w:szCs w:val="24"/>
        </w:rPr>
        <w:t xml:space="preserve">EMS.QA.PRO.02.10. Customer Complaint Handling Procedure</w:t>
      </w:r>
    </w:p>
    <w:p>
      <w:pPr>
        <w:pStyle w:val="ListeParagraf"/>
        <w:numPr>
          <w:ilvl w:val="0"/>
          <w:numId w:val="1"/>
        </w:numPr>
        <w:spacing w:after="60"/>
        <w:jc w:val="both"/>
      </w:pPr>
      <w:r>
        <w:rPr>
          <w:rFonts w:ascii="Calibri" w:hAnsi="Calibri" w:cs="Arial"/>
          <w:sz w:val="24"/>
          <w:szCs w:val="24"/>
        </w:rPr>
        <w:t xml:space="preserve">EMS.MG.PRO.13.03. Customer Audit Preparation and Corrective Action Plan Follow-Up Procedure</w:t>
      </w:r>
    </w:p>
    <w:p>
      <w:pPr>
        <w:pStyle w:val="ListeParagraf"/>
        <w:numPr>
          <w:ilvl w:val="0"/>
          <w:numId w:val="1"/>
        </w:numPr>
        <w:spacing w:after="60"/>
        <w:jc w:val="both"/>
      </w:pPr>
      <w:r>
        <w:rPr>
          <w:rFonts w:ascii="Calibri" w:hAnsi="Calibri" w:cs="Arial"/>
          <w:sz w:val="24"/>
          <w:szCs w:val="24"/>
        </w:rPr>
        <w:t xml:space="preserve">EMS.YS.PRO.11.05. Management Review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FEEDBACK AND FOLLOW-UP</w:t>
      </w:r>
    </w:p>
    <w:p>
      <w:pPr>
        <w:pStyle w:val="ListeParagraf"/>
        <w:spacing w:after="80"/>
        <w:ind w:left="709" w:right="0"/>
        <w:jc w:val="both"/>
      </w:pPr>
      <w:r>
        <w:rPr>
          <w:rFonts w:ascii="Calibri" w:hAnsi="Calibri" w:cs="Arial"/>
          <w:sz w:val="24"/>
          <w:szCs w:val="24"/>
        </w:rPr>
        <w:t xml:space="preserve">This procedure is reviewed every year by the Management System Coordinator. Results of external audits, the management review and suggestions from auditors and departments are evaluated and the procedure is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تخطيط عمليات التدقيق الداخلي لنظام الإدارة المتكامل وتنفيذها، وكيفية تسجيل حالات عدم المطابقة من أي مصدر وتحليلها وتصحيحها والتحقق منها في شركة إيروغلو للتريكو (EMS)، لضمان فعالية النظام ومنع التكرار، وفقًا للبندين 9.2 و10.2 من ISO 9001:2015 وإرشادات ISO 19011:2018.</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عمليات التدقيق الداخلي مقابل ISO 9001 وISO 14001 وISO 45001 ومتطلبات الامتثال الاجتماعي، وحالات عدم المطابقة الناشئة عن التدقيقات (الداخلية وتدقيقات العملاء والأطراف الثانية والثالثة) وشكاوى العملاء وإخفاقات العمليات والمنتجات والحوادث وعدم الامتثال القانوني. ويشمل جميع الأقسام والعمليات والورديات والمواقع، بما في ذلك مناطق الغزل والتريكو والصباغة والملابس الجاهزة.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برنامج التدقيق السنوي ويوفر الموارد للإجراءات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نظام الإدارة / مدير ضمان الجودة:</w:t>
      </w:r>
      <w:r>
        <w:rPr>
          <w:rFonts w:ascii="Calibri" w:hAnsi="Calibri" w:cs="Arial"/>
          <w:rtl/>
          <w:sz w:val="24"/>
          <w:szCs w:val="24"/>
        </w:rPr>
        <w:t xml:space="preserve"> يعد برنامج التدقيق ويعين المدققين ويحتفظ بسجل عدم المطابقة والإجراءات التصحيحية ويتابع الإجراءات حتى الإغلاق.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كبير المدققين:</w:t>
      </w:r>
      <w:r>
        <w:rPr>
          <w:rFonts w:ascii="Calibri" w:hAnsi="Calibri" w:cs="Arial"/>
          <w:rtl/>
          <w:sz w:val="24"/>
          <w:szCs w:val="24"/>
        </w:rPr>
        <w:t xml:space="preserve"> يدير فريق التدقيق ويعد تقرير التدقيق ويعرضه.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المدققون الداخليون:</w:t>
      </w:r>
      <w:r>
        <w:rPr>
          <w:rFonts w:ascii="Calibri" w:hAnsi="Calibri" w:cs="Arial"/>
          <w:rtl/>
          <w:sz w:val="24"/>
          <w:szCs w:val="24"/>
        </w:rPr>
        <w:t xml:space="preserve"> يخططون للتدقيق وينفذونه بحيادية، ويسجلون الملاحظات مع الأدلة الموضوعية، ويتحققون من 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يشاركون في التدقيق ويحللون الأسباب الجذرية وينفذون الإجراءات التصحيحية في مناطقهم ضمن المواعيد المتفق عليها.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الامتثال الاجتماعي:</w:t>
      </w:r>
      <w:r>
        <w:rPr>
          <w:rFonts w:ascii="Calibri" w:hAnsi="Calibri" w:cs="Arial"/>
          <w:rtl/>
          <w:sz w:val="24"/>
          <w:szCs w:val="24"/>
        </w:rPr>
        <w:t xml:space="preserve"> يساهم في التدقيقات المتعلقة بمدونة السلوك وموضوعات الامتثال.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التدقيق الداخلي:</w:t>
      </w:r>
      <w:r>
        <w:rPr>
          <w:rFonts w:ascii="Calibri" w:hAnsi="Calibri" w:cs="Arial"/>
          <w:rtl/>
          <w:sz w:val="24"/>
          <w:szCs w:val="24"/>
        </w:rPr>
        <w:t xml:space="preserve"> فحص منهجي ومستقل وموثق يجريه موظفو المنظمة أنفسهم لتحديد ما إذا كان النظام مطبقًا وفعالًا.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دليل التدقيق:</w:t>
      </w:r>
      <w:r>
        <w:rPr>
          <w:rFonts w:ascii="Calibri" w:hAnsi="Calibri" w:cs="Arial"/>
          <w:rtl/>
          <w:sz w:val="24"/>
          <w:szCs w:val="24"/>
        </w:rPr>
        <w:t xml:space="preserve"> سجلات أو بيانات وقائعية أو معلومات أخرى قابلة للتحقق ومتعلقة بمعايير التدقيق.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عدم المطابقة:</w:t>
      </w:r>
      <w:r>
        <w:rPr>
          <w:rFonts w:ascii="Calibri" w:hAnsi="Calibri" w:cs="Arial"/>
          <w:rtl/>
          <w:sz w:val="24"/>
          <w:szCs w:val="24"/>
        </w:rPr>
        <w:t xml:space="preserve"> عدم تلبية متطلب (معياري أو قانوني أو خاص بالعميل أو داخلي).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عدم مطابقة رئيسي:</w:t>
      </w:r>
      <w:r>
        <w:rPr>
          <w:rFonts w:ascii="Calibri" w:hAnsi="Calibri" w:cs="Arial"/>
          <w:rtl/>
          <w:sz w:val="24"/>
          <w:szCs w:val="24"/>
        </w:rPr>
        <w:t xml:space="preserve"> إخفاق كامل في تلبية متطلب أو انهيار منهجي.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عدم مطابقة ثانوي:</w:t>
      </w:r>
      <w:r>
        <w:rPr>
          <w:rFonts w:ascii="Calibri" w:hAnsi="Calibri" w:cs="Arial"/>
          <w:rtl/>
          <w:sz w:val="24"/>
          <w:szCs w:val="24"/>
        </w:rPr>
        <w:t xml:space="preserve"> قصور منفرد لا يعطل النظام.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التصحيح:</w:t>
      </w:r>
      <w:r>
        <w:rPr>
          <w:rFonts w:ascii="Calibri" w:hAnsi="Calibri" w:cs="Arial"/>
          <w:rtl/>
          <w:sz w:val="24"/>
          <w:szCs w:val="24"/>
        </w:rPr>
        <w:t xml:space="preserve"> إجراء فوري يُتخذ لإزالة عدم المطابقة المكتشف.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الإجراء التصحيحي:</w:t>
      </w:r>
      <w:r>
        <w:rPr>
          <w:rFonts w:ascii="Calibri" w:hAnsi="Calibri" w:cs="Arial"/>
          <w:rtl/>
          <w:sz w:val="24"/>
          <w:szCs w:val="24"/>
        </w:rPr>
        <w:t xml:space="preserve"> إجراء يُتخذ لإزالة السبب الجذري لعدم المطابقة ومنع تكراره.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ملاحظة / فرصة للتحسين:</w:t>
      </w:r>
      <w:r>
        <w:rPr>
          <w:rFonts w:ascii="Calibri" w:hAnsi="Calibri" w:cs="Arial"/>
          <w:rtl/>
          <w:sz w:val="24"/>
          <w:szCs w:val="24"/>
        </w:rPr>
        <w:t xml:space="preserve"> نتيجة ليست عدم مطابقة ولكنها قد تصبح كذلك أو قد تحسن الأداء.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الاستقلالية:</w:t>
      </w:r>
      <w:r>
        <w:rPr>
          <w:rFonts w:ascii="Calibri" w:hAnsi="Calibri" w:cs="Arial"/>
          <w:rtl/>
          <w:sz w:val="24"/>
          <w:szCs w:val="24"/>
        </w:rPr>
        <w:t xml:space="preserve"> عدم تدقيق المدقق لنشاطه الخاص.</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برنامج التدقيق</w:t>
      </w:r>
    </w:p>
    <w:p>
      <w:pPr>
        <w:pStyle w:val="ListeParagraf"/>
        <w:bidi/>
        <w:spacing w:after="80"/>
        <w:ind w:left="0" w:right="709"/>
        <w:jc w:val="both"/>
      </w:pPr>
      <w:r>
        <w:rPr>
          <w:rFonts w:ascii="Calibri" w:hAnsi="Calibri" w:cs="Arial"/>
          <w:rtl/>
          <w:sz w:val="24"/>
          <w:szCs w:val="24"/>
        </w:rPr>
        <w:t xml:space="preserve">1.1. في بداية كل عام يعد منسق نظام الإدارة برنامج تدقيق سنوي بحيث تُدقق كل عملية وكل وردية مرة واحدة على الأقل في السنة.</w:t>
      </w:r>
    </w:p>
    <w:p>
      <w:pPr>
        <w:pStyle w:val="ListeParagraf"/>
        <w:bidi/>
        <w:spacing w:after="80"/>
        <w:ind w:left="0" w:right="709"/>
        <w:jc w:val="both"/>
      </w:pPr>
      <w:r>
        <w:rPr>
          <w:rFonts w:ascii="Calibri" w:hAnsi="Calibri" w:cs="Arial"/>
          <w:rtl/>
          <w:sz w:val="24"/>
          <w:szCs w:val="24"/>
        </w:rPr>
        <w:t xml:space="preserve">1.2. تُدقق العمليات ذات المخاطر العالية أو حالات عدم المطابقة السابقة أو شكاوى العملاء بشكل أكثر تكرارًا.</w:t>
      </w:r>
    </w:p>
    <w:p>
      <w:pPr>
        <w:pStyle w:val="ListeParagraf"/>
        <w:bidi/>
        <w:spacing w:after="80"/>
        <w:ind w:left="0" w:right="709"/>
        <w:jc w:val="both"/>
      </w:pPr>
      <w:r>
        <w:rPr>
          <w:rFonts w:ascii="Calibri" w:hAnsi="Calibri" w:cs="Arial"/>
          <w:rtl/>
          <w:sz w:val="24"/>
          <w:szCs w:val="24"/>
        </w:rPr>
        <w:t xml:space="preserve">1.3. يستند البرنامج إلى أهمية العمليات ونتائج التدقيق السابقة والمخاطر والتغييرات والشكاوى وملاحظات العملاء؛ وتُدقق العمليات عالية المخاطر (الغزل والكيماويات وفحص المعادن والامتثال الاجتماعي) بشكل أكثر تكرارًا.</w:t>
      </w:r>
    </w:p>
    <w:p>
      <w:pPr>
        <w:pStyle w:val="ListeParagraf"/>
        <w:bidi/>
        <w:spacing w:after="80"/>
        <w:ind w:left="0" w:right="709"/>
        <w:jc w:val="both"/>
      </w:pPr>
      <w:r>
        <w:rPr>
          <w:rFonts w:ascii="Calibri" w:hAnsi="Calibri" w:cs="Arial"/>
          <w:rtl/>
          <w:sz w:val="24"/>
          <w:szCs w:val="24"/>
        </w:rPr>
        <w:t xml:space="preserve">1.4. يعتمد المدير العام البرنامج ويُعلن للأقسام. وتُجرى عمليات تدقيق غير مخططة عند الحاجة، مثل بعد شكوى خطيرة أو حادث.</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كفاءة المدققين</w:t>
      </w:r>
    </w:p>
    <w:p>
      <w:pPr>
        <w:pStyle w:val="ListeParagraf"/>
        <w:bidi/>
        <w:spacing w:after="80"/>
        <w:ind w:left="0" w:right="709"/>
        <w:jc w:val="both"/>
      </w:pPr>
      <w:r>
        <w:rPr>
          <w:rFonts w:ascii="Calibri" w:hAnsi="Calibri" w:cs="Arial"/>
          <w:rtl/>
          <w:sz w:val="24"/>
          <w:szCs w:val="24"/>
        </w:rPr>
        <w:t xml:space="preserve">2.1. يتدرب المدققون الداخليون على ISO 9001 وISO 14001 وISO 45001 وتقنيات التدقيق، وتُحفظ قائمة بالمدققين المؤهلين.</w:t>
      </w:r>
    </w:p>
    <w:p>
      <w:pPr>
        <w:pStyle w:val="ListeParagraf"/>
        <w:bidi/>
        <w:spacing w:after="80"/>
        <w:ind w:left="0" w:right="709"/>
        <w:jc w:val="both"/>
      </w:pPr>
      <w:r>
        <w:rPr>
          <w:rFonts w:ascii="Calibri" w:hAnsi="Calibri" w:cs="Arial"/>
          <w:rtl/>
          <w:sz w:val="24"/>
          <w:szCs w:val="24"/>
        </w:rPr>
        <w:t xml:space="preserve">2.2. لا يدقق المدققون أعمالهم أو أقسامهم لضمان الموضوعية والحياد.</w:t>
      </w:r>
    </w:p>
    <w:p>
      <w:pPr>
        <w:pStyle w:val="ListeParagraf"/>
        <w:bidi/>
        <w:spacing w:after="80"/>
        <w:ind w:left="0" w:right="709"/>
        <w:jc w:val="both"/>
      </w:pPr>
      <w:r>
        <w:rPr>
          <w:rFonts w:ascii="Calibri" w:hAnsi="Calibri" w:cs="Arial"/>
          <w:rtl/>
          <w:sz w:val="24"/>
          <w:szCs w:val="24"/>
        </w:rPr>
        <w:t xml:space="preserve">2.3. يُتحقق من كفاءة المدقق في مصفوفة المهارات وتُجدد عبر التدريب الدوري وتقييم أداء التدقيق.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تنفيذ التدقيق</w:t>
      </w:r>
    </w:p>
    <w:p>
      <w:pPr>
        <w:pStyle w:val="ListeParagraf"/>
        <w:bidi/>
        <w:spacing w:after="80"/>
        <w:ind w:left="0" w:right="709"/>
        <w:jc w:val="both"/>
      </w:pPr>
      <w:r>
        <w:rPr>
          <w:rFonts w:ascii="Calibri" w:hAnsi="Calibri" w:cs="Arial"/>
          <w:rtl/>
          <w:sz w:val="24"/>
          <w:szCs w:val="24"/>
        </w:rPr>
        <w:t xml:space="preserve">3.1. تُرسل خطة التدقيق (التاريخ والنطاق والمعايير والمدققون) إلى القسم الخاضع للتدقيق قبل التدقيق بأسبوع على الأقل.</w:t>
      </w:r>
    </w:p>
    <w:p>
      <w:pPr>
        <w:pStyle w:val="ListeParagraf"/>
        <w:bidi/>
        <w:spacing w:after="80"/>
        <w:ind w:left="0" w:right="709"/>
        <w:jc w:val="both"/>
      </w:pPr>
      <w:r>
        <w:rPr>
          <w:rFonts w:ascii="Calibri" w:hAnsi="Calibri" w:cs="Arial"/>
          <w:rtl/>
          <w:sz w:val="24"/>
          <w:szCs w:val="24"/>
        </w:rPr>
        <w:t xml:space="preserve">3.2. يبدأ التدقيق باجتماع افتتاحي؛ وتُجمع الأدلة بالمقابلات والملاحظة ومراجعة السجلات، بما في ذلك على أرض الإنتاج.</w:t>
      </w:r>
    </w:p>
    <w:p>
      <w:pPr>
        <w:pStyle w:val="ListeParagraf"/>
        <w:bidi/>
        <w:spacing w:after="80"/>
        <w:ind w:left="0" w:right="709"/>
        <w:jc w:val="both"/>
      </w:pPr>
      <w:r>
        <w:rPr>
          <w:rFonts w:ascii="Calibri" w:hAnsi="Calibri" w:cs="Arial"/>
          <w:rtl/>
          <w:sz w:val="24"/>
          <w:szCs w:val="24"/>
        </w:rPr>
        <w:t xml:space="preserve">3.3. في الاجتماع الختامي تُشرح النتائج وتُصنف إلى عدم مطابقة رئيسي أو عدم مطابقة ثانوي أو ملاحظة.</w:t>
      </w:r>
    </w:p>
    <w:p>
      <w:pPr>
        <w:pStyle w:val="ListeParagraf"/>
        <w:bidi/>
        <w:spacing w:after="80"/>
        <w:ind w:left="0" w:right="709"/>
        <w:jc w:val="both"/>
      </w:pPr>
      <w:r>
        <w:rPr>
          <w:rFonts w:ascii="Calibri" w:hAnsi="Calibri" w:cs="Arial"/>
          <w:rtl/>
          <w:sz w:val="24"/>
          <w:szCs w:val="24"/>
        </w:rPr>
        <w:t xml:space="preserve">3.4. يصدر تقرير التدقيق خلال 5 أيام عمل وتُدخل حالات عدم المطابقة في سجل عدم المطابقة والإجراءات التصحيحية.</w:t>
      </w:r>
    </w:p>
    <w:p>
      <w:pPr>
        <w:pStyle w:val="ListeParagraf"/>
        <w:bidi/>
        <w:spacing w:after="80"/>
        <w:ind w:left="0" w:right="709"/>
        <w:jc w:val="both"/>
      </w:pPr>
      <w:r>
        <w:rPr>
          <w:rFonts w:ascii="Calibri" w:hAnsi="Calibri" w:cs="Arial"/>
          <w:rtl/>
          <w:sz w:val="24"/>
          <w:szCs w:val="24"/>
        </w:rPr>
        <w:t xml:space="preserve">3.5. قائمة التدقيق مبنية على المخاطر ومعدة بندًا ببند؛ وتُضاف إليها الإجراءات التصحيحية المفتوحة وملاحظات العملاء. وتُكتب كل نتيجة بشكل وقائعي مع الحالة والمعيار (البند) والدليل والأثر.</w:t>
      </w:r>
    </w:p>
    <w:p>
      <w:pPr>
        <w:pStyle w:val="ListeParagraf"/>
        <w:bidi/>
        <w:spacing w:after="80"/>
        <w:ind w:left="0" w:right="709"/>
        <w:jc w:val="both"/>
      </w:pPr>
      <w:r>
        <w:rPr>
          <w:rFonts w:ascii="Calibri" w:hAnsi="Calibri" w:cs="Arial"/>
          <w:rtl/>
          <w:sz w:val="24"/>
          <w:szCs w:val="24"/>
        </w:rPr>
        <w:t xml:space="preserve">3.6. يلتزم المدققون بقواعد السلامة ومتطلبات معدات الوقاية في المنطقة، ويرافقهم مرافق قرب الآلات المتحركة، ولا يعطلون الإنتاج؛ ويُبلَّغ فورًا عن أي خطر عاجل يُكتشف.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عدم المطابقة والإجراء التصحيحي</w:t>
      </w:r>
    </w:p>
    <w:p>
      <w:pPr>
        <w:pStyle w:val="ListeParagraf"/>
        <w:bidi/>
        <w:spacing w:after="80"/>
        <w:ind w:left="0" w:right="709"/>
        <w:jc w:val="both"/>
      </w:pPr>
      <w:r>
        <w:rPr>
          <w:rFonts w:ascii="Calibri" w:hAnsi="Calibri" w:cs="Arial"/>
          <w:rtl/>
          <w:sz w:val="24"/>
          <w:szCs w:val="24"/>
        </w:rPr>
        <w:t xml:space="preserve">4.1. يبلغ أي موظف يكتشف عدم مطابقة مديره؛ وتُسجل في نموذج عدم المطابقة والإجراء التصحيحي (وتُعالج حالات عدم مطابقة المنتج وفق EMS.KS.PRO.22.02.).</w:t>
      </w:r>
    </w:p>
    <w:p>
      <w:pPr>
        <w:pStyle w:val="ListeParagraf"/>
        <w:bidi/>
        <w:spacing w:after="80"/>
        <w:ind w:left="0" w:right="709"/>
        <w:jc w:val="both"/>
      </w:pPr>
      <w:r>
        <w:rPr>
          <w:rFonts w:ascii="Calibri" w:hAnsi="Calibri" w:cs="Arial"/>
          <w:rtl/>
          <w:sz w:val="24"/>
          <w:szCs w:val="24"/>
        </w:rPr>
        <w:t xml:space="preserve">4.2. يتخذ القسم المسؤول التصحيح فورًا للسيطرة على الأثر.</w:t>
      </w:r>
    </w:p>
    <w:p>
      <w:pPr>
        <w:pStyle w:val="ListeParagraf"/>
        <w:bidi/>
        <w:spacing w:after="80"/>
        <w:ind w:left="0" w:right="709"/>
        <w:jc w:val="both"/>
      </w:pPr>
      <w:r>
        <w:rPr>
          <w:rFonts w:ascii="Calibri" w:hAnsi="Calibri" w:cs="Arial"/>
          <w:rtl/>
          <w:sz w:val="24"/>
          <w:szCs w:val="24"/>
        </w:rPr>
        <w:t xml:space="preserve">4.3. يُحلل السبب الجذري باستخدام طرق مثل «لماذا الخمسة» أو مخطط عظمة السمكة، وتُعد خطة إجراء تصحيحي مع المسؤولين والمواعيد المستهدفة.</w:t>
      </w:r>
    </w:p>
    <w:p>
      <w:pPr>
        <w:pStyle w:val="ListeParagraf"/>
        <w:bidi/>
        <w:spacing w:after="80"/>
        <w:ind w:left="0" w:right="709"/>
        <w:jc w:val="both"/>
      </w:pPr>
      <w:r>
        <w:rPr>
          <w:rFonts w:ascii="Calibri" w:hAnsi="Calibri" w:cs="Arial"/>
          <w:rtl/>
          <w:sz w:val="24"/>
          <w:szCs w:val="24"/>
        </w:rPr>
        <w:t xml:space="preserve">4.4. المواعيد المستهدفة: حالات عدم المطابقة الرئيسية خلال 30 يومًا، والثانوية خلال 60 يومًا، ما لم يحدد العميل أو متطلب الاعتماد مدة أقصر.</w:t>
      </w:r>
    </w:p>
    <w:p>
      <w:pPr>
        <w:pStyle w:val="ListeParagraf"/>
        <w:bidi/>
        <w:spacing w:after="80"/>
        <w:ind w:left="0" w:right="709"/>
        <w:jc w:val="both"/>
      </w:pPr>
      <w:r>
        <w:rPr>
          <w:rFonts w:ascii="Calibri" w:hAnsi="Calibri" w:cs="Arial"/>
          <w:rtl/>
          <w:sz w:val="24"/>
          <w:szCs w:val="24"/>
        </w:rPr>
        <w:t xml:space="preserve">4.5. عند الحاجة تُحدّث تقييمات المخاطر والوثائق والتدريب كجزء من الإجراء التصحيحي.</w:t>
      </w:r>
    </w:p>
    <w:p>
      <w:pPr>
        <w:pStyle w:val="ListeParagraf"/>
        <w:bidi/>
        <w:spacing w:after="80"/>
        <w:ind w:left="0" w:right="709"/>
        <w:jc w:val="both"/>
      </w:pPr>
      <w:r>
        <w:rPr>
          <w:rFonts w:ascii="Calibri" w:hAnsi="Calibri" w:cs="Arial"/>
          <w:rtl/>
          <w:sz w:val="24"/>
          <w:szCs w:val="24"/>
        </w:rPr>
        <w:t xml:space="preserve">4.6. في حالة عدم المطابقة الرئيسي، يُوقف النشاط المعرض للخطر أو يوضع تحت السيطرة فورًا ويُبلَّغ مدير ضمان الجودة في اليوم نفسه. ويقدم القسم السبب الجذري وخطة الإجراء التصحيحي خلال 10 أيام عمل.</w:t>
      </w:r>
    </w:p>
    <w:p>
      <w:pPr>
        <w:pStyle w:val="ListeParagraf"/>
        <w:bidi/>
        <w:spacing w:after="80"/>
        <w:ind w:left="0" w:right="709"/>
        <w:jc w:val="both"/>
      </w:pPr>
      <w:r>
        <w:rPr>
          <w:rFonts w:ascii="Calibri" w:hAnsi="Calibri" w:cs="Arial"/>
          <w:rtl/>
          <w:sz w:val="24"/>
          <w:szCs w:val="24"/>
        </w:rPr>
        <w:t xml:space="preserve">4.7. تُفحص العمليات والأقسام المماثلة بحثًا عن نقطة الضعف نفسها، ويُقرر تعميم الإجراء.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التحقق والإغلاق</w:t>
      </w:r>
    </w:p>
    <w:p>
      <w:pPr>
        <w:pStyle w:val="ListeParagraf"/>
        <w:bidi/>
        <w:spacing w:after="80"/>
        <w:ind w:left="0" w:right="709"/>
        <w:jc w:val="both"/>
      </w:pPr>
      <w:r>
        <w:rPr>
          <w:rFonts w:ascii="Calibri" w:hAnsi="Calibri" w:cs="Arial"/>
          <w:rtl/>
          <w:sz w:val="24"/>
          <w:szCs w:val="24"/>
        </w:rPr>
        <w:t xml:space="preserve">5.1. بعد الموعد المستهدف، يتحقق المدقق أو منسق نظام الإدارة مما إذا كان الإجراء قد نُفذ وكان فعالًا.</w:t>
      </w:r>
    </w:p>
    <w:p>
      <w:pPr>
        <w:pStyle w:val="ListeParagraf"/>
        <w:bidi/>
        <w:spacing w:after="80"/>
        <w:ind w:left="0" w:right="709"/>
        <w:jc w:val="both"/>
      </w:pPr>
      <w:r>
        <w:rPr>
          <w:rFonts w:ascii="Calibri" w:hAnsi="Calibri" w:cs="Arial"/>
          <w:rtl/>
          <w:sz w:val="24"/>
          <w:szCs w:val="24"/>
        </w:rPr>
        <w:t xml:space="preserve">5.2. إذا لم يكن الإجراء فعالًا يظل عدم المطابقة مفتوحًا وتُجرى تحليل جديد وخطة إجراء جديدة.</w:t>
      </w:r>
    </w:p>
    <w:p>
      <w:pPr>
        <w:pStyle w:val="ListeParagraf"/>
        <w:bidi/>
        <w:spacing w:after="80"/>
        <w:ind w:left="0" w:right="709"/>
        <w:jc w:val="both"/>
      </w:pPr>
      <w:r>
        <w:rPr>
          <w:rFonts w:ascii="Calibri" w:hAnsi="Calibri" w:cs="Arial"/>
          <w:rtl/>
          <w:sz w:val="24"/>
          <w:szCs w:val="24"/>
        </w:rPr>
        <w:t xml:space="preserve">5.3. تُعرض المؤشرات التالية في مراجعة الإدارة: نسبة تنفيذ برنامج التدقيق (%)، وعدد حالات عدم المطابقة حسب العملية، والإجراءات التصحيحية المغلقة في موعدها (%)، وحالات عدم المطابقة المتكررة.</w:t>
      </w:r>
    </w:p>
    <w:p>
      <w:pPr>
        <w:pStyle w:val="ListeParagraf"/>
        <w:bidi/>
        <w:spacing w:after="80"/>
        <w:ind w:left="0" w:right="709"/>
        <w:jc w:val="both"/>
      </w:pPr>
      <w:r>
        <w:rPr>
          <w:rFonts w:ascii="Calibri" w:hAnsi="Calibri" w:cs="Arial"/>
          <w:rtl/>
          <w:sz w:val="24"/>
          <w:szCs w:val="24"/>
        </w:rPr>
        <w:t xml:space="preserve">5.4. لا تُغلق النتيجة دون دليل وتحقق من الفعالية. وتُصعَّد النتائج المتأخرة إلى المدير العام ومراجعة الإدارة.</w:t>
      </w:r>
    </w:p>
    <w:p>
      <w:pPr>
        <w:pStyle w:val="ListeParagraf"/>
        <w:bidi/>
        <w:spacing w:after="80"/>
        <w:ind w:left="0" w:right="709"/>
        <w:jc w:val="both"/>
      </w:pPr>
      <w:r>
        <w:rPr>
          <w:rFonts w:ascii="Calibri" w:hAnsi="Calibri" w:cs="Arial"/>
          <w:rtl/>
          <w:sz w:val="24"/>
          <w:szCs w:val="24"/>
        </w:rPr>
        <w:t xml:space="preserve">5.5. تُتابع نتائج التدقيق الداخلي وملاحظات العملاء في سجل مشترك واحد، مع سجل واحد لرقم كل نتيجة وحالتها.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نقاط التحكم والأهداف</w:t>
      </w:r>
    </w:p>
    <w:p>
      <w:pPr>
        <w:pStyle w:val="ListeParagraf"/>
        <w:bidi/>
        <w:spacing w:after="80"/>
        <w:ind w:left="0" w:right="709"/>
        <w:jc w:val="both"/>
      </w:pPr>
      <w:r>
        <w:rPr>
          <w:rFonts w:ascii="Calibri" w:hAnsi="Calibri" w:cs="Arial"/>
          <w:rtl/>
          <w:sz w:val="24"/>
          <w:szCs w:val="24"/>
        </w:rPr>
        <w:t xml:space="preserve">6.1. أمثلة على نقاط التحكم، وتُحدّث وفق سياسة الشركة ومواصفات العملاء:</w:t>
      </w:r>
    </w:p>
    <w:p>
      <w:pPr>
        <w:pStyle w:val="ListeParagraf"/>
        <w:numPr>
          <w:ilvl w:val="0"/>
          <w:numId w:val="1"/>
        </w:numPr>
        <w:bidi/>
        <w:spacing w:after="60"/>
        <w:jc w:val="both"/>
      </w:pPr>
      <w:r>
        <w:rPr>
          <w:rFonts w:ascii="Calibri" w:hAnsi="Calibri" w:cs="Arial"/>
          <w:rtl/>
          <w:sz w:val="24"/>
          <w:szCs w:val="24"/>
        </w:rPr>
        <w:t xml:space="preserve">عمليات التدقيق المخططة المنجزة: 100% (سنويًا مع متابعة شهرية)،</w:t>
      </w:r>
    </w:p>
    <w:p>
      <w:pPr>
        <w:pStyle w:val="ListeParagraf"/>
        <w:numPr>
          <w:ilvl w:val="0"/>
          <w:numId w:val="1"/>
        </w:numPr>
        <w:bidi/>
        <w:spacing w:after="60"/>
        <w:jc w:val="both"/>
      </w:pPr>
      <w:r>
        <w:rPr>
          <w:rFonts w:ascii="Calibri" w:hAnsi="Calibri" w:cs="Arial"/>
          <w:rtl/>
          <w:sz w:val="24"/>
          <w:szCs w:val="24"/>
        </w:rPr>
        <w:t xml:space="preserve">إصدار تقرير التدقيق خلال 5 أيام عمل،</w:t>
      </w:r>
    </w:p>
    <w:p>
      <w:pPr>
        <w:pStyle w:val="ListeParagraf"/>
        <w:numPr>
          <w:ilvl w:val="0"/>
          <w:numId w:val="1"/>
        </w:numPr>
        <w:bidi/>
        <w:spacing w:after="60"/>
        <w:jc w:val="both"/>
      </w:pPr>
      <w:r>
        <w:rPr>
          <w:rFonts w:ascii="Calibri" w:hAnsi="Calibri" w:cs="Arial"/>
          <w:rtl/>
          <w:sz w:val="24"/>
          <w:szCs w:val="24"/>
        </w:rPr>
        <w:t xml:space="preserve">إغلاق النتائج ضمن المدة المستهدفة دون نتائج مفتوحة متأخرة،</w:t>
      </w:r>
    </w:p>
    <w:p>
      <w:pPr>
        <w:pStyle w:val="ListeParagraf"/>
        <w:numPr>
          <w:ilvl w:val="0"/>
          <w:numId w:val="1"/>
        </w:numPr>
        <w:bidi/>
        <w:spacing w:after="60"/>
        <w:jc w:val="both"/>
      </w:pPr>
      <w:r>
        <w:rPr>
          <w:rFonts w:ascii="Calibri" w:hAnsi="Calibri" w:cs="Arial"/>
          <w:rtl/>
          <w:sz w:val="24"/>
          <w:szCs w:val="24"/>
        </w:rPr>
        <w:t xml:space="preserve">النتائج المتكررة: 5% كحد أقصى (سنويًا)،</w:t>
      </w:r>
    </w:p>
    <w:p>
      <w:pPr>
        <w:pStyle w:val="ListeParagraf"/>
        <w:numPr>
          <w:ilvl w:val="0"/>
          <w:numId w:val="1"/>
        </w:numPr>
        <w:bidi/>
        <w:spacing w:after="60"/>
        <w:jc w:val="both"/>
      </w:pPr>
      <w:r>
        <w:rPr>
          <w:rFonts w:ascii="Calibri" w:hAnsi="Calibri" w:cs="Arial"/>
          <w:rtl/>
          <w:sz w:val="24"/>
          <w:szCs w:val="24"/>
        </w:rPr>
        <w:t xml:space="preserve">أربعة مدققين مؤهلين على الأقل مع تعيين مستقل لجميع الأقسام.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حفظ السجلات</w:t>
      </w:r>
    </w:p>
    <w:p>
      <w:pPr>
        <w:pStyle w:val="ListeParagraf"/>
        <w:bidi/>
        <w:spacing w:after="80"/>
        <w:ind w:left="0" w:right="709"/>
        <w:jc w:val="both"/>
      </w:pPr>
      <w:r>
        <w:rPr>
          <w:rFonts w:ascii="Calibri" w:hAnsi="Calibri" w:cs="Arial"/>
          <w:rtl/>
          <w:sz w:val="24"/>
          <w:szCs w:val="24"/>
        </w:rPr>
        <w:t xml:space="preserve">7.1. يُحتفظ ببرنامج التدقيق والخطط والتقارير ونماذج متابعة النتائج وسجلات كفاءة المدققين خمس سنوات على الأقل في نظام إدارة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برنامج التدقيق الداخلي السنوي وخطط التدقيق (PRS-IDN-01، FRM-IDN-01)؛ تعليمات خطة التدقيق وتعيين المدققين (TLM-IDN-01)</w:t>
      </w:r>
    </w:p>
    <w:p>
      <w:pPr>
        <w:pStyle w:val="ListeParagraf"/>
        <w:numPr>
          <w:ilvl w:val="0"/>
          <w:numId w:val="1"/>
        </w:numPr>
        <w:bidi/>
        <w:spacing w:after="60"/>
        <w:jc w:val="both"/>
      </w:pPr>
      <w:r>
        <w:rPr>
          <w:rFonts w:ascii="Calibri" w:hAnsi="Calibri" w:cs="Arial"/>
          <w:rtl/>
          <w:sz w:val="24"/>
          <w:szCs w:val="24"/>
        </w:rPr>
        <w:t xml:space="preserve">تقارير التدقيق الداخلي (FRM-IDN-02) وقائمة المدققين المؤهلين؛ تعليمات تنفيذ التدقيق وكتابة النتائج (TLM-IDN-02)</w:t>
      </w:r>
    </w:p>
    <w:p>
      <w:pPr>
        <w:pStyle w:val="ListeParagraf"/>
        <w:numPr>
          <w:ilvl w:val="0"/>
          <w:numId w:val="1"/>
        </w:numPr>
        <w:bidi/>
        <w:spacing w:after="60"/>
        <w:jc w:val="both"/>
      </w:pPr>
      <w:r>
        <w:rPr>
          <w:rFonts w:ascii="Calibri" w:hAnsi="Calibri" w:cs="Arial"/>
          <w:rtl/>
          <w:sz w:val="24"/>
          <w:szCs w:val="24"/>
        </w:rPr>
        <w:t xml:space="preserve">نموذج وسجل عدم المطابقة والإجراء التصحيحي؛ نموذج متابعة النتائج (FRM-IDN-03)؛ تعليمات التحقق من إغلاق النتائج (TLM-IDN-03)</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المنتجات غير المطابقة</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numPr>
          <w:ilvl w:val="0"/>
          <w:numId w:val="1"/>
        </w:numPr>
        <w:bidi/>
        <w:spacing w:after="60"/>
        <w:jc w:val="both"/>
      </w:pPr>
      <w:r>
        <w:rPr>
          <w:rFonts w:ascii="Calibri" w:hAnsi="Calibri" w:cs="Arial"/>
          <w:rtl/>
          <w:sz w:val="24"/>
          <w:szCs w:val="24"/>
        </w:rPr>
        <w:t xml:space="preserve">EMS.İS.PRO.18.20. عملية التدقيق الداخلي للسلامة والصحة المهنية وEMS.İS.PRO.18.21. إجراء مراجعة الإدارة</w:t>
      </w:r>
    </w:p>
    <w:p>
      <w:pPr>
        <w:pStyle w:val="ListeParagraf"/>
        <w:numPr>
          <w:ilvl w:val="0"/>
          <w:numId w:val="1"/>
        </w:numPr>
        <w:bidi/>
        <w:spacing w:after="60"/>
        <w:jc w:val="both"/>
      </w:pPr>
      <w:r>
        <w:rPr>
          <w:rFonts w:ascii="Calibri" w:hAnsi="Calibri" w:cs="Arial"/>
          <w:rtl/>
          <w:sz w:val="24"/>
          <w:szCs w:val="24"/>
        </w:rPr>
        <w:t xml:space="preserve">EMS.QA.PRO.02.10. إجراء معالجة شكاوى العملاء</w:t>
      </w:r>
    </w:p>
    <w:p>
      <w:pPr>
        <w:pStyle w:val="ListeParagraf"/>
        <w:numPr>
          <w:ilvl w:val="0"/>
          <w:numId w:val="1"/>
        </w:numPr>
        <w:bidi/>
        <w:spacing w:after="60"/>
        <w:jc w:val="both"/>
      </w:pPr>
      <w:r>
        <w:rPr>
          <w:rFonts w:ascii="Calibri" w:hAnsi="Calibri" w:cs="Arial"/>
          <w:rtl/>
          <w:sz w:val="24"/>
          <w:szCs w:val="24"/>
        </w:rPr>
        <w:t xml:space="preserve">EMS.MG.PRO.13.03. إجراء التحضير لتدقيق العملاء ومتابعة خطة الإجراءات التصحيحية</w:t>
      </w:r>
    </w:p>
    <w:p>
      <w:pPr>
        <w:pStyle w:val="ListeParagraf"/>
        <w:numPr>
          <w:ilvl w:val="0"/>
          <w:numId w:val="1"/>
        </w:numPr>
        <w:bidi/>
        <w:spacing w:after="60"/>
        <w:jc w:val="both"/>
      </w:pPr>
      <w:r>
        <w:rPr>
          <w:rFonts w:ascii="Calibri" w:hAnsi="Calibri" w:cs="Arial"/>
          <w:rtl/>
          <w:sz w:val="24"/>
          <w:szCs w:val="24"/>
        </w:rPr>
        <w:t xml:space="preserve">EMS.YS.PRO.11.05. إجراء مراجعة الإدارة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منسق نظام الإدارة. وتُقيّم نتائج التدقيقات الخارجية ومراجعة الإدارة ومقترحات المدققين والأقسام، ويُعدل الإجراء عند الحاجة.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Kalite Güvence Müdürü  ..........................</w:t>
      </w:r>
    </w:p>
    <w:p>
      <w:pPr>
        <w:pStyle w:val="ListeParagraf"/>
        <w:spacing w:before="40" w:after="0"/>
        <w:ind w:left="709"/>
      </w:pPr>
      <w:r>
        <w:rPr>
          <w:rFonts w:ascii="Calibri" w:hAnsi="Calibri" w:cs="Calibri"/>
          <w:b/>
          <w:bCs/>
          <w:sz w:val="20"/>
          <w:szCs w:val="20"/>
        </w:rPr>
        <w:t xml:space="preserve">Kontrol: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INTERNAL AUDIT, NONCONFORMITY AND CORRECTIVE ACTION PROCEDURE</w:t>
          </w:r>
        </w:p>
        <w:p>
          <w:pPr>
            <w:pStyle w:val="GvdeMetni2"/>
            <w:bidi/>
            <w:spacing w:line="276" w:lineRule="auto"/>
            <w:jc w:val="center"/>
          </w:pPr>
          <w:r>
            <w:rPr>
              <w:rFonts w:asciiTheme="minorHAnsi" w:hAnsiTheme="minorHAnsi" w:cs="Arial"/>
              <w:b/>
              <w:bCs/>
              <w:color w:val="000000" w:themeColor="text1"/>
              <w:sz w:val="22"/>
              <w:szCs w:val="22"/>
              <w:rtl/>
            </w:rPr>
            <w:t>إجراء التدقيق الداخلي وعدم المطابقة والإجراءات التصحيحية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EMS.YS.PRO.11.02.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EMS.YS.PRO.11.02. INTERNAL AUDIT, NONCONFORMITY AND CORRECTIVE ACTION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