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BE8A2" w14:textId="77777777" w:rsidR="001F56DD" w:rsidRPr="001F56DD" w:rsidRDefault="001F56DD" w:rsidP="00291B05">
      <w:pPr>
        <w:bidi/>
        <w:rPr>
          <w:rFonts w:ascii="Calibri" w:hAnsi="Calibri" w:cs="Calibri"/>
          <w:sz w:val="32"/>
          <w:szCs w:val="32"/>
        </w:rPr>
      </w:pPr>
      <w:r w:rsidRPr="001F56DD">
        <w:rPr>
          <w:rFonts w:ascii="Calibri" w:eastAsia="Arial" w:hAnsi="Calibri" w:cs="Calibri"/>
          <w:b/>
          <w:bCs/>
          <w:color w:val="1F3B57"/>
          <w:sz w:val="32"/>
          <w:szCs w:val="32"/>
          <w:rtl/>
        </w:rPr>
        <w:t>الغرض</w:t>
      </w:r>
    </w:p>
    <w:p w14:paraId="77170E82" w14:textId="7955193D" w:rsidR="003709E2" w:rsidRPr="0021715E" w:rsidRDefault="001F56DD" w:rsidP="00291B05">
      <w:pPr>
        <w:bidi/>
        <w:spacing w:before="240" w:after="90"/>
        <w:rPr>
          <w:rFonts w:ascii="Calibri" w:hAnsi="Calibri" w:cs="Calibri"/>
          <w:sz w:val="28"/>
          <w:szCs w:val="28"/>
        </w:rPr>
      </w:pPr>
      <w:r w:rsidRPr="001F56DD">
        <w:rPr>
          <w:rFonts w:ascii="Calibri" w:eastAsia="Arial" w:hAnsi="Calibri" w:cs="Calibri"/>
          <w:sz w:val="28"/>
          <w:szCs w:val="28"/>
          <w:rtl/>
        </w:rPr>
        <w:t xml:space="preserve">تحدد هذه الخطة الإجراءات الواجب اتباعها من قبل مصنع </w:t>
      </w:r>
      <w:proofErr w:type="spellStart"/>
      <w:r w:rsidRPr="001F56DD">
        <w:rPr>
          <w:rFonts w:ascii="Calibri" w:eastAsia="Arial" w:hAnsi="Calibri" w:cs="Calibri"/>
          <w:sz w:val="28"/>
          <w:szCs w:val="28"/>
          <w:rtl/>
        </w:rPr>
        <w:t>إيروجلو</w:t>
      </w:r>
      <w:proofErr w:type="spellEnd"/>
      <w:r w:rsidRPr="001F56DD">
        <w:rPr>
          <w:rFonts w:ascii="Calibri" w:eastAsia="Arial" w:hAnsi="Calibri" w:cs="Calibri"/>
          <w:sz w:val="28"/>
          <w:szCs w:val="28"/>
          <w:rtl/>
        </w:rPr>
        <w:t xml:space="preserve"> للمنسوجات لحماية العاملين والزوار والمنشآت والماكينات والشحنات وأنظمة المعلومات من الحوادث الأمنية وحالات الطوارئ، وضمان استمرارية العمليات. كما تدعم هذه الخطة امتثال المصنع لمعايير الأمن الخاصة ببرنامج الشراكة الجمركية التجارية لمكافحة الإرهاب</w:t>
      </w:r>
      <w:r w:rsidRPr="001F56DD">
        <w:rPr>
          <w:rFonts w:ascii="Calibri" w:eastAsia="Arial" w:hAnsi="Calibri" w:cs="Calibri"/>
          <w:sz w:val="28"/>
          <w:szCs w:val="28"/>
        </w:rPr>
        <w:t xml:space="preserve"> (C-TPAT) </w:t>
      </w:r>
      <w:r w:rsidRPr="001F56DD">
        <w:rPr>
          <w:rFonts w:ascii="Calibri" w:eastAsia="Arial" w:hAnsi="Calibri" w:cs="Calibri"/>
          <w:sz w:val="28"/>
          <w:szCs w:val="28"/>
          <w:rtl/>
        </w:rPr>
        <w:t>وبرنامج التحقق الأمني العالمي</w:t>
      </w:r>
      <w:r w:rsidRPr="001F56DD">
        <w:rPr>
          <w:rFonts w:ascii="Calibri" w:eastAsia="Arial" w:hAnsi="Calibri" w:cs="Calibri"/>
          <w:sz w:val="28"/>
          <w:szCs w:val="28"/>
        </w:rPr>
        <w:t xml:space="preserve"> (GSV).</w:t>
      </w:r>
      <w:r w:rsidR="003709E2" w:rsidRPr="0021715E">
        <w:rPr>
          <w:rFonts w:ascii="Calibri" w:eastAsia="Arial" w:hAnsi="Calibri" w:cs="Calibri"/>
          <w:b/>
          <w:bCs/>
          <w:color w:val="1F3B57"/>
          <w:sz w:val="28"/>
          <w:szCs w:val="28"/>
        </w:rPr>
        <w:t>Scope</w:t>
      </w:r>
    </w:p>
    <w:p w14:paraId="7C983180" w14:textId="77777777" w:rsidR="001F56DD" w:rsidRPr="001F56DD" w:rsidRDefault="001F56DD" w:rsidP="00291B05">
      <w:pPr>
        <w:bidi/>
        <w:spacing w:before="240" w:after="100"/>
        <w:rPr>
          <w:rFonts w:ascii="Calibri" w:eastAsia="Arial" w:hAnsi="Calibri" w:cs="Calibri"/>
          <w:b/>
          <w:bCs/>
          <w:color w:val="1F3B57"/>
          <w:sz w:val="32"/>
          <w:szCs w:val="32"/>
        </w:rPr>
      </w:pPr>
      <w:r w:rsidRPr="001F56DD">
        <w:rPr>
          <w:rFonts w:ascii="Calibri" w:eastAsia="Arial" w:hAnsi="Calibri" w:cs="Calibri"/>
          <w:b/>
          <w:bCs/>
          <w:color w:val="1F3B57"/>
          <w:sz w:val="32"/>
          <w:szCs w:val="32"/>
          <w:rtl/>
        </w:rPr>
        <w:t>النطاق</w:t>
      </w:r>
    </w:p>
    <w:p w14:paraId="5F31B1D8" w14:textId="58BFEB40" w:rsidR="003709E2" w:rsidRPr="001F56DD" w:rsidRDefault="001F56DD" w:rsidP="00291B05">
      <w:pPr>
        <w:bidi/>
        <w:spacing w:after="40"/>
        <w:rPr>
          <w:rFonts w:ascii="Calibri" w:hAnsi="Calibri" w:cs="Calibri"/>
          <w:sz w:val="32"/>
          <w:szCs w:val="32"/>
        </w:rPr>
      </w:pPr>
      <w:r w:rsidRPr="001F56DD">
        <w:rPr>
          <w:rFonts w:ascii="Calibri" w:eastAsia="Arial" w:hAnsi="Calibri" w:cs="Calibri"/>
          <w:sz w:val="28"/>
          <w:szCs w:val="28"/>
          <w:rtl/>
        </w:rPr>
        <w:t xml:space="preserve">تنطبق هذه الخطة على جميع العاملين والمقاولين والزوار والأطراف الأخرى المتواجدين في منشأة </w:t>
      </w:r>
      <w:proofErr w:type="spellStart"/>
      <w:r w:rsidRPr="001F56DD">
        <w:rPr>
          <w:rFonts w:ascii="Calibri" w:eastAsia="Arial" w:hAnsi="Calibri" w:cs="Calibri"/>
          <w:sz w:val="28"/>
          <w:szCs w:val="28"/>
          <w:rtl/>
        </w:rPr>
        <w:t>إيروجلو</w:t>
      </w:r>
      <w:proofErr w:type="spellEnd"/>
      <w:r w:rsidRPr="001F56DD">
        <w:rPr>
          <w:rFonts w:ascii="Calibri" w:eastAsia="Arial" w:hAnsi="Calibri" w:cs="Calibri"/>
          <w:sz w:val="28"/>
          <w:szCs w:val="28"/>
          <w:rtl/>
        </w:rPr>
        <w:t xml:space="preserve"> للمنسوجات، وتغطي جميع المناطق بما في ذلك صالات الإنتاج والمخازن ومنطقة الشحن والتفريغ والمكاتب الإدارية وأنظمة تكنولوجيا المعلومات</w:t>
      </w:r>
      <w:r w:rsidRPr="001F56DD">
        <w:rPr>
          <w:rFonts w:ascii="Calibri" w:eastAsia="Arial" w:hAnsi="Calibri" w:cs="Calibri"/>
          <w:sz w:val="28"/>
          <w:szCs w:val="28"/>
        </w:rPr>
        <w:t>.</w:t>
      </w:r>
    </w:p>
    <w:p w14:paraId="4C420DCD" w14:textId="77777777" w:rsidR="001F56DD" w:rsidRPr="001F56DD" w:rsidRDefault="001F56DD" w:rsidP="00291B05">
      <w:pPr>
        <w:bidi/>
        <w:spacing w:before="240" w:after="100"/>
        <w:rPr>
          <w:rFonts w:ascii="Calibri" w:eastAsia="Arial" w:hAnsi="Calibri" w:cs="Calibri"/>
          <w:b/>
          <w:bCs/>
          <w:color w:val="1F3B57"/>
          <w:sz w:val="32"/>
          <w:szCs w:val="32"/>
        </w:rPr>
      </w:pPr>
      <w:r w:rsidRPr="001F56DD">
        <w:rPr>
          <w:rFonts w:ascii="Calibri" w:eastAsia="Arial" w:hAnsi="Calibri" w:cs="Calibri"/>
          <w:b/>
          <w:bCs/>
          <w:color w:val="1F3B57"/>
          <w:sz w:val="32"/>
          <w:szCs w:val="32"/>
          <w:rtl/>
        </w:rPr>
        <w:t>الأدوار والمسؤوليات</w:t>
      </w:r>
    </w:p>
    <w:p w14:paraId="1D185D26" w14:textId="77777777" w:rsidR="001F56DD" w:rsidRPr="001F56DD" w:rsidRDefault="001F56DD" w:rsidP="00291B05">
      <w:pPr>
        <w:bidi/>
        <w:spacing w:after="40"/>
        <w:rPr>
          <w:rFonts w:ascii="Calibri" w:hAnsi="Calibri" w:cs="Calibri"/>
          <w:sz w:val="28"/>
          <w:szCs w:val="28"/>
        </w:rPr>
      </w:pPr>
      <w:r w:rsidRPr="001F56DD">
        <w:rPr>
          <w:rFonts w:ascii="Calibri" w:hAnsi="Calibri" w:cs="Calibri"/>
          <w:sz w:val="28"/>
          <w:szCs w:val="28"/>
          <w:rtl/>
        </w:rPr>
        <w:t>•  مدير المصنع/الأمن: المسؤولية العامة عن الخطة ومراجعتها وتحديثها سنويًا.</w:t>
      </w:r>
    </w:p>
    <w:p w14:paraId="4ABA2EF4" w14:textId="77777777" w:rsidR="001F56DD" w:rsidRPr="001F56DD" w:rsidRDefault="001F56DD" w:rsidP="00291B05">
      <w:pPr>
        <w:bidi/>
        <w:spacing w:after="40"/>
        <w:rPr>
          <w:rFonts w:ascii="Calibri" w:hAnsi="Calibri" w:cs="Calibri"/>
          <w:sz w:val="28"/>
          <w:szCs w:val="28"/>
        </w:rPr>
      </w:pPr>
      <w:r w:rsidRPr="001F56DD">
        <w:rPr>
          <w:rFonts w:ascii="Calibri" w:hAnsi="Calibri" w:cs="Calibri"/>
          <w:sz w:val="28"/>
          <w:szCs w:val="28"/>
          <w:rtl/>
        </w:rPr>
        <w:t>•  فريق الاستجابة للطوارئ: مسؤولو إخلاء ومسعفون مدربون لكل وردية/منطقة.</w:t>
      </w:r>
    </w:p>
    <w:p w14:paraId="63A830AA" w14:textId="77777777" w:rsidR="001F56DD" w:rsidRPr="001F56DD" w:rsidRDefault="001F56DD" w:rsidP="00291B05">
      <w:pPr>
        <w:bidi/>
        <w:spacing w:after="40"/>
        <w:rPr>
          <w:rFonts w:ascii="Calibri" w:hAnsi="Calibri" w:cs="Calibri"/>
          <w:sz w:val="28"/>
          <w:szCs w:val="28"/>
        </w:rPr>
      </w:pPr>
      <w:r w:rsidRPr="001F56DD">
        <w:rPr>
          <w:rFonts w:ascii="Calibri" w:hAnsi="Calibri" w:cs="Calibri"/>
          <w:sz w:val="28"/>
          <w:szCs w:val="28"/>
          <w:rtl/>
        </w:rPr>
        <w:t>•  جميع العاملين: الإبلاغ عن الحوادث/الأنشطة المشبوهة واتباع إجراءات الإخلاء.</w:t>
      </w:r>
    </w:p>
    <w:p w14:paraId="465FC46C" w14:textId="77777777" w:rsidR="001F56DD" w:rsidRPr="001F56DD" w:rsidRDefault="001F56DD" w:rsidP="00291B05">
      <w:pPr>
        <w:bidi/>
        <w:spacing w:after="40"/>
        <w:rPr>
          <w:rFonts w:ascii="Calibri" w:hAnsi="Calibri" w:cs="Calibri"/>
          <w:sz w:val="28"/>
          <w:szCs w:val="28"/>
        </w:rPr>
      </w:pPr>
      <w:r w:rsidRPr="001F56DD">
        <w:rPr>
          <w:rFonts w:ascii="Calibri" w:hAnsi="Calibri" w:cs="Calibri"/>
          <w:sz w:val="28"/>
          <w:szCs w:val="28"/>
          <w:rtl/>
        </w:rPr>
        <w:t>•  مسؤول تكنولوجيا المعلومات: إدارة الاستجابة للحوادث السيبرانية واستعادة الأنظمة.</w:t>
      </w:r>
    </w:p>
    <w:p w14:paraId="16D94019" w14:textId="511C055E" w:rsidR="001F56DD" w:rsidRPr="001F56DD" w:rsidRDefault="001F56DD" w:rsidP="00291B05">
      <w:pPr>
        <w:bidi/>
        <w:spacing w:after="40"/>
        <w:rPr>
          <w:rFonts w:ascii="Calibri" w:hAnsi="Calibri" w:cs="Calibri"/>
          <w:sz w:val="28"/>
          <w:szCs w:val="28"/>
        </w:rPr>
      </w:pPr>
      <w:r w:rsidRPr="001F56DD">
        <w:rPr>
          <w:rFonts w:ascii="Calibri" w:hAnsi="Calibri" w:cs="Calibri"/>
          <w:sz w:val="28"/>
          <w:szCs w:val="28"/>
          <w:rtl/>
        </w:rPr>
        <w:t>•  الموارد البشرية/الإدارة: إدارة التواصل الداخلي وحصر العاملين أثناء الحوادث.</w:t>
      </w:r>
    </w:p>
    <w:p w14:paraId="3AEE7378" w14:textId="6E374435" w:rsidR="00D3143B" w:rsidRDefault="001F56DD" w:rsidP="00291B05">
      <w:pPr>
        <w:pStyle w:val="ListParagraph"/>
        <w:numPr>
          <w:ilvl w:val="0"/>
          <w:numId w:val="5"/>
        </w:numPr>
        <w:bidi/>
        <w:spacing w:before="240" w:after="100"/>
        <w:rPr>
          <w:rFonts w:ascii="Calibri" w:eastAsia="Arial" w:hAnsi="Calibri" w:cs="Calibri"/>
          <w:b/>
          <w:bCs/>
          <w:color w:val="1F3B57"/>
          <w:sz w:val="32"/>
          <w:szCs w:val="32"/>
        </w:rPr>
      </w:pPr>
      <w:r w:rsidRPr="001F56DD">
        <w:rPr>
          <w:rFonts w:ascii="Calibri" w:eastAsia="Arial" w:hAnsi="Calibri" w:cs="Calibri"/>
          <w:b/>
          <w:bCs/>
          <w:color w:val="1F3B57"/>
          <w:sz w:val="32"/>
          <w:szCs w:val="32"/>
          <w:rtl/>
        </w:rPr>
        <w:t>السرقة والاقتحام</w:t>
      </w:r>
    </w:p>
    <w:p w14:paraId="409EAC66" w14:textId="77777777" w:rsidR="001F56DD" w:rsidRPr="001F56DD" w:rsidRDefault="001F56DD" w:rsidP="00291B05">
      <w:pPr>
        <w:bidi/>
        <w:spacing w:before="240" w:after="100"/>
        <w:rPr>
          <w:rFonts w:ascii="Calibri" w:hAnsi="Calibri" w:cs="Calibri"/>
          <w:sz w:val="28"/>
          <w:szCs w:val="28"/>
        </w:rPr>
      </w:pPr>
      <w:r w:rsidRPr="001F56DD">
        <w:rPr>
          <w:rFonts w:ascii="Calibri" w:eastAsia="Arial" w:hAnsi="Calibri" w:cs="Calibri"/>
          <w:b/>
          <w:bCs/>
          <w:color w:val="1F3B57"/>
          <w:sz w:val="28"/>
          <w:szCs w:val="28"/>
          <w:rtl/>
        </w:rPr>
        <w:t>الهدف</w:t>
      </w:r>
    </w:p>
    <w:p w14:paraId="2248A1E5" w14:textId="77777777" w:rsidR="001F56DD" w:rsidRPr="001F56DD" w:rsidRDefault="001F56DD" w:rsidP="00291B05">
      <w:pPr>
        <w:bidi/>
        <w:spacing w:after="100"/>
        <w:rPr>
          <w:rFonts w:ascii="Calibri" w:hAnsi="Calibri" w:cs="Calibri"/>
          <w:sz w:val="28"/>
          <w:szCs w:val="28"/>
        </w:rPr>
      </w:pPr>
      <w:r w:rsidRPr="001F56DD">
        <w:rPr>
          <w:rFonts w:ascii="Calibri" w:eastAsia="Arial" w:hAnsi="Calibri" w:cs="Calibri"/>
          <w:sz w:val="28"/>
          <w:szCs w:val="28"/>
          <w:rtl/>
        </w:rPr>
        <w:t>منع الدخول غير المصرح به وحماية مباني المصنع والبضائع والماكينات والشحنات من السرقة أو الاقتحام.</w:t>
      </w:r>
    </w:p>
    <w:p w14:paraId="577783B0" w14:textId="77777777" w:rsidR="001F56DD" w:rsidRPr="001F56DD" w:rsidRDefault="001F56DD" w:rsidP="00291B05">
      <w:pPr>
        <w:bidi/>
        <w:spacing w:before="240" w:after="100"/>
        <w:rPr>
          <w:rFonts w:ascii="Calibri" w:hAnsi="Calibri" w:cs="Calibri"/>
          <w:sz w:val="28"/>
          <w:szCs w:val="28"/>
        </w:rPr>
      </w:pPr>
      <w:r w:rsidRPr="001F56DD">
        <w:rPr>
          <w:rFonts w:ascii="Calibri" w:eastAsia="Arial" w:hAnsi="Calibri" w:cs="Calibri"/>
          <w:b/>
          <w:bCs/>
          <w:color w:val="1F3B57"/>
          <w:sz w:val="28"/>
          <w:szCs w:val="28"/>
          <w:rtl/>
        </w:rPr>
        <w:t>إجراءات وقائية</w:t>
      </w:r>
    </w:p>
    <w:p w14:paraId="1F03EB4E" w14:textId="77777777" w:rsidR="001F56DD" w:rsidRPr="001F56DD" w:rsidRDefault="001F56DD" w:rsidP="00291B05">
      <w:pPr>
        <w:bidi/>
        <w:spacing w:after="60"/>
        <w:ind w:right="300"/>
        <w:rPr>
          <w:rFonts w:ascii="Calibri" w:hAnsi="Calibri" w:cs="Calibri"/>
          <w:sz w:val="28"/>
          <w:szCs w:val="28"/>
        </w:rPr>
      </w:pPr>
      <w:r w:rsidRPr="001F56DD">
        <w:rPr>
          <w:rFonts w:ascii="Calibri" w:eastAsia="Arial" w:hAnsi="Calibri" w:cs="Calibri"/>
          <w:sz w:val="28"/>
          <w:szCs w:val="28"/>
          <w:rtl/>
        </w:rPr>
        <w:t>•  أسوار محيطية وبوابات خاضعة للمراقبة والتحكم.</w:t>
      </w:r>
    </w:p>
    <w:p w14:paraId="7466C62E" w14:textId="77777777" w:rsidR="001F56DD" w:rsidRPr="001F56DD" w:rsidRDefault="001F56DD" w:rsidP="00291B05">
      <w:pPr>
        <w:bidi/>
        <w:spacing w:after="60"/>
        <w:ind w:right="300"/>
        <w:rPr>
          <w:rFonts w:ascii="Calibri" w:hAnsi="Calibri" w:cs="Calibri"/>
          <w:sz w:val="28"/>
          <w:szCs w:val="28"/>
        </w:rPr>
      </w:pPr>
      <w:r w:rsidRPr="001F56DD">
        <w:rPr>
          <w:rFonts w:ascii="Calibri" w:eastAsia="Arial" w:hAnsi="Calibri" w:cs="Calibri"/>
          <w:sz w:val="28"/>
          <w:szCs w:val="28"/>
          <w:rtl/>
        </w:rPr>
        <w:t>•  تغطية كاميرات المراقبة (CCTV) للبوابات والمخازن ومنطقة الشحن والتفريغ، مع الاحتفاظ بالتسجيلات لمدة كافية حسب السياسة.</w:t>
      </w:r>
    </w:p>
    <w:p w14:paraId="25CDD16B" w14:textId="77777777" w:rsidR="001F56DD" w:rsidRPr="001F56DD" w:rsidRDefault="001F56DD" w:rsidP="00291B05">
      <w:pPr>
        <w:bidi/>
        <w:spacing w:after="60"/>
        <w:ind w:right="300"/>
        <w:rPr>
          <w:rFonts w:ascii="Calibri" w:hAnsi="Calibri" w:cs="Calibri"/>
          <w:sz w:val="28"/>
          <w:szCs w:val="28"/>
        </w:rPr>
      </w:pPr>
      <w:r w:rsidRPr="001F56DD">
        <w:rPr>
          <w:rFonts w:ascii="Calibri" w:eastAsia="Arial" w:hAnsi="Calibri" w:cs="Calibri"/>
          <w:sz w:val="28"/>
          <w:szCs w:val="28"/>
          <w:rtl/>
        </w:rPr>
        <w:t>•  ضبط الدخول: بطاقات تعريف للعاملين، تسجيل ومرافقة الزوار، وتفتيش المركبات عند البوابات.</w:t>
      </w:r>
    </w:p>
    <w:p w14:paraId="63E7AF57" w14:textId="77777777" w:rsidR="001F56DD" w:rsidRPr="001F56DD" w:rsidRDefault="001F56DD" w:rsidP="00291B05">
      <w:pPr>
        <w:bidi/>
        <w:spacing w:after="60"/>
        <w:ind w:right="300"/>
        <w:rPr>
          <w:rFonts w:ascii="Calibri" w:hAnsi="Calibri" w:cs="Calibri"/>
          <w:sz w:val="28"/>
          <w:szCs w:val="28"/>
        </w:rPr>
      </w:pPr>
      <w:r w:rsidRPr="001F56DD">
        <w:rPr>
          <w:rFonts w:ascii="Calibri" w:eastAsia="Arial" w:hAnsi="Calibri" w:cs="Calibri"/>
          <w:sz w:val="28"/>
          <w:szCs w:val="28"/>
          <w:rtl/>
        </w:rPr>
        <w:t>•  تواجد رجال أمن عند نقاط الدخول والخروج في جميع الورديات.</w:t>
      </w:r>
    </w:p>
    <w:p w14:paraId="4A3E82A8" w14:textId="77777777" w:rsidR="001F56DD" w:rsidRPr="001F56DD" w:rsidRDefault="001F56DD" w:rsidP="00291B05">
      <w:pPr>
        <w:bidi/>
        <w:spacing w:after="60"/>
        <w:ind w:right="300"/>
        <w:rPr>
          <w:rFonts w:ascii="Calibri" w:hAnsi="Calibri" w:cs="Calibri"/>
          <w:sz w:val="26"/>
          <w:szCs w:val="26"/>
        </w:rPr>
      </w:pPr>
      <w:r w:rsidRPr="001F56DD">
        <w:rPr>
          <w:rFonts w:ascii="Calibri" w:eastAsia="Arial" w:hAnsi="Calibri" w:cs="Calibri"/>
          <w:sz w:val="26"/>
          <w:szCs w:val="26"/>
          <w:rtl/>
        </w:rPr>
        <w:t>•  استخدام أختام أمان عالية الجودة والتحقق منها (فحص – توثيق – تسجيل) على الحاويات والمقطورات.</w:t>
      </w:r>
    </w:p>
    <w:p w14:paraId="5B275001" w14:textId="387AF0B8" w:rsidR="001F56DD" w:rsidRPr="001F56DD" w:rsidRDefault="001F56DD" w:rsidP="00291B05">
      <w:pPr>
        <w:bidi/>
        <w:spacing w:after="60"/>
        <w:ind w:right="300"/>
        <w:rPr>
          <w:rFonts w:ascii="Calibri" w:hAnsi="Calibri" w:cs="Calibri"/>
          <w:sz w:val="28"/>
          <w:szCs w:val="28"/>
        </w:rPr>
      </w:pPr>
      <w:r w:rsidRPr="001F56DD">
        <w:rPr>
          <w:rFonts w:ascii="Calibri" w:eastAsia="Arial" w:hAnsi="Calibri" w:cs="Calibri"/>
          <w:sz w:val="28"/>
          <w:szCs w:val="28"/>
          <w:rtl/>
        </w:rPr>
        <w:t xml:space="preserve">•  عمليات تفتيش </w:t>
      </w:r>
      <w:proofErr w:type="gramStart"/>
      <w:r w:rsidRPr="001F56DD">
        <w:rPr>
          <w:rFonts w:ascii="Calibri" w:eastAsia="Arial" w:hAnsi="Calibri" w:cs="Calibri" w:hint="cs"/>
          <w:sz w:val="28"/>
          <w:szCs w:val="28"/>
          <w:rtl/>
        </w:rPr>
        <w:t>دورية</w:t>
      </w:r>
      <w:proofErr w:type="gramEnd"/>
      <w:r>
        <w:rPr>
          <w:rFonts w:ascii="Calibri" w:eastAsia="Arial" w:hAnsi="Calibri" w:cs="Calibri"/>
          <w:sz w:val="28"/>
          <w:szCs w:val="28"/>
        </w:rPr>
        <w:t xml:space="preserve"> </w:t>
      </w:r>
      <w:r w:rsidRPr="001F56DD">
        <w:rPr>
          <w:rFonts w:ascii="Calibri" w:eastAsia="Arial" w:hAnsi="Calibri" w:cs="Calibri"/>
          <w:sz w:val="28"/>
          <w:szCs w:val="28"/>
          <w:rtl/>
        </w:rPr>
        <w:t>ومفاجئة للعاملين والحقائب والمركبات.</w:t>
      </w:r>
    </w:p>
    <w:p w14:paraId="0E352290" w14:textId="77777777" w:rsidR="001F56DD" w:rsidRPr="001F56DD" w:rsidRDefault="001F56DD" w:rsidP="00291B05">
      <w:pPr>
        <w:bidi/>
        <w:spacing w:after="100"/>
        <w:rPr>
          <w:rFonts w:ascii="Calibri" w:hAnsi="Calibri" w:cs="Calibri"/>
          <w:sz w:val="28"/>
          <w:szCs w:val="28"/>
        </w:rPr>
      </w:pPr>
      <w:r w:rsidRPr="001F56DD">
        <w:rPr>
          <w:rFonts w:ascii="Calibri" w:eastAsia="Arial" w:hAnsi="Calibri" w:cs="Calibri"/>
          <w:b/>
          <w:bCs/>
          <w:color w:val="1F3B57"/>
          <w:sz w:val="28"/>
          <w:szCs w:val="28"/>
          <w:rtl/>
        </w:rPr>
        <w:t>إجراءات الاستجابة</w:t>
      </w:r>
    </w:p>
    <w:p w14:paraId="277BACE1" w14:textId="77777777" w:rsidR="001F56DD" w:rsidRPr="001F56DD" w:rsidRDefault="001F56DD" w:rsidP="00291B05">
      <w:pPr>
        <w:bidi/>
        <w:spacing w:after="60"/>
        <w:ind w:right="300"/>
        <w:rPr>
          <w:rFonts w:ascii="Calibri" w:hAnsi="Calibri" w:cs="Calibri"/>
          <w:sz w:val="28"/>
          <w:szCs w:val="28"/>
        </w:rPr>
      </w:pPr>
      <w:r w:rsidRPr="001F56DD">
        <w:rPr>
          <w:rFonts w:ascii="Calibri" w:eastAsia="Arial" w:hAnsi="Calibri" w:cs="Calibri"/>
          <w:sz w:val="28"/>
          <w:szCs w:val="28"/>
          <w:rtl/>
        </w:rPr>
        <w:lastRenderedPageBreak/>
        <w:t>•  1. الإبلاغ الفوري عن الحادث لمسؤول الأمن/مدير المصنع.</w:t>
      </w:r>
    </w:p>
    <w:p w14:paraId="4EA400EA" w14:textId="77777777" w:rsidR="001F56DD" w:rsidRPr="001F56DD" w:rsidRDefault="001F56DD" w:rsidP="00291B05">
      <w:pPr>
        <w:bidi/>
        <w:spacing w:after="60"/>
        <w:ind w:right="300"/>
        <w:rPr>
          <w:rFonts w:ascii="Calibri" w:hAnsi="Calibri" w:cs="Calibri"/>
          <w:sz w:val="28"/>
          <w:szCs w:val="28"/>
        </w:rPr>
      </w:pPr>
      <w:r w:rsidRPr="001F56DD">
        <w:rPr>
          <w:rFonts w:ascii="Calibri" w:eastAsia="Arial" w:hAnsi="Calibri" w:cs="Calibri"/>
          <w:sz w:val="28"/>
          <w:szCs w:val="28"/>
          <w:rtl/>
        </w:rPr>
        <w:t>•  2. تأمين وعزل المنطقة المتأثرة وعدم العبث بأي أدلة.</w:t>
      </w:r>
    </w:p>
    <w:p w14:paraId="04C3EE4C" w14:textId="77777777" w:rsidR="001F56DD" w:rsidRPr="001F56DD" w:rsidRDefault="001F56DD" w:rsidP="00291B05">
      <w:pPr>
        <w:bidi/>
        <w:spacing w:after="60"/>
        <w:ind w:right="300"/>
        <w:rPr>
          <w:rFonts w:ascii="Calibri" w:hAnsi="Calibri" w:cs="Calibri"/>
          <w:sz w:val="28"/>
          <w:szCs w:val="28"/>
        </w:rPr>
      </w:pPr>
      <w:r w:rsidRPr="001F56DD">
        <w:rPr>
          <w:rFonts w:ascii="Calibri" w:eastAsia="Arial" w:hAnsi="Calibri" w:cs="Calibri"/>
          <w:sz w:val="28"/>
          <w:szCs w:val="28"/>
          <w:rtl/>
        </w:rPr>
        <w:t>•  3. إخطار الشرطة المحلية والحصول على محضر أو رقم مرجعي رسمي.</w:t>
      </w:r>
    </w:p>
    <w:p w14:paraId="6B99928D" w14:textId="77777777" w:rsidR="001F56DD" w:rsidRPr="001F56DD" w:rsidRDefault="001F56DD" w:rsidP="00291B05">
      <w:pPr>
        <w:bidi/>
        <w:spacing w:after="60"/>
        <w:ind w:right="300"/>
        <w:rPr>
          <w:rFonts w:ascii="Calibri" w:hAnsi="Calibri" w:cs="Calibri"/>
          <w:sz w:val="28"/>
          <w:szCs w:val="28"/>
        </w:rPr>
      </w:pPr>
      <w:r w:rsidRPr="001F56DD">
        <w:rPr>
          <w:rFonts w:ascii="Calibri" w:eastAsia="Arial" w:hAnsi="Calibri" w:cs="Calibri"/>
          <w:sz w:val="28"/>
          <w:szCs w:val="28"/>
          <w:rtl/>
        </w:rPr>
        <w:t>•  4. مراجعة والاحتفاظ بتسجيلات الكاميرات الخاصة بفترة الحادث.</w:t>
      </w:r>
    </w:p>
    <w:p w14:paraId="7D982D38" w14:textId="77777777" w:rsidR="001F56DD" w:rsidRPr="001F56DD" w:rsidRDefault="001F56DD" w:rsidP="00291B05">
      <w:pPr>
        <w:bidi/>
        <w:spacing w:after="60"/>
        <w:ind w:right="300"/>
        <w:rPr>
          <w:rFonts w:ascii="Calibri" w:hAnsi="Calibri" w:cs="Calibri"/>
          <w:sz w:val="28"/>
          <w:szCs w:val="28"/>
        </w:rPr>
      </w:pPr>
      <w:r w:rsidRPr="001F56DD">
        <w:rPr>
          <w:rFonts w:ascii="Calibri" w:eastAsia="Arial" w:hAnsi="Calibri" w:cs="Calibri"/>
          <w:sz w:val="28"/>
          <w:szCs w:val="28"/>
          <w:rtl/>
        </w:rPr>
        <w:t>•  5. إبلاغ العميل/المشتري ومخلص الجمارك في حال تأثر الشحنة.</w:t>
      </w:r>
    </w:p>
    <w:p w14:paraId="520BC33D" w14:textId="77777777" w:rsidR="001F56DD" w:rsidRPr="001F56DD" w:rsidRDefault="001F56DD" w:rsidP="00291B05">
      <w:pPr>
        <w:bidi/>
        <w:spacing w:after="60"/>
        <w:ind w:right="300"/>
        <w:rPr>
          <w:rFonts w:ascii="Calibri" w:hAnsi="Calibri" w:cs="Calibri"/>
          <w:sz w:val="28"/>
          <w:szCs w:val="28"/>
        </w:rPr>
      </w:pPr>
      <w:r w:rsidRPr="001F56DD">
        <w:rPr>
          <w:rFonts w:ascii="Calibri" w:eastAsia="Arial" w:hAnsi="Calibri" w:cs="Calibri"/>
          <w:sz w:val="28"/>
          <w:szCs w:val="28"/>
          <w:rtl/>
        </w:rPr>
        <w:t>•  6. إجراء تحقيق داخلي وتطبيق الإجراءات التصحيحية/التأديبية اللازمة.</w:t>
      </w:r>
    </w:p>
    <w:p w14:paraId="70616367" w14:textId="284DEBC7" w:rsidR="001F56DD" w:rsidRDefault="001F56DD" w:rsidP="00291B05">
      <w:pPr>
        <w:bidi/>
        <w:spacing w:before="240" w:after="100"/>
        <w:rPr>
          <w:rFonts w:ascii="Calibri" w:eastAsia="Arial" w:hAnsi="Calibri" w:cs="Calibri"/>
          <w:b/>
          <w:bCs/>
          <w:color w:val="1F3B57"/>
          <w:sz w:val="28"/>
          <w:szCs w:val="28"/>
        </w:rPr>
      </w:pPr>
      <w:r w:rsidRPr="001F56DD">
        <w:rPr>
          <w:rFonts w:ascii="Calibri" w:eastAsia="Arial" w:hAnsi="Calibri" w:cs="Calibri"/>
          <w:b/>
          <w:bCs/>
          <w:color w:val="1F3B57"/>
          <w:sz w:val="28"/>
          <w:szCs w:val="28"/>
          <w:rtl/>
        </w:rPr>
        <w:t>الجهة المسؤولة: إدارة الأمن / مدير المصنع</w:t>
      </w:r>
    </w:p>
    <w:p w14:paraId="27826EB5" w14:textId="77777777" w:rsidR="001F56DD" w:rsidRDefault="001F56DD" w:rsidP="00291B05">
      <w:pPr>
        <w:pStyle w:val="ListParagraph"/>
        <w:numPr>
          <w:ilvl w:val="0"/>
          <w:numId w:val="5"/>
        </w:numPr>
        <w:bidi/>
        <w:spacing w:before="240" w:after="100"/>
        <w:rPr>
          <w:rFonts w:ascii="Calibri" w:eastAsia="Arial" w:hAnsi="Calibri" w:cs="Calibri"/>
          <w:b/>
          <w:bCs/>
          <w:color w:val="1F3B57"/>
          <w:sz w:val="32"/>
          <w:szCs w:val="32"/>
        </w:rPr>
      </w:pPr>
      <w:r w:rsidRPr="001F56DD">
        <w:rPr>
          <w:rFonts w:ascii="Calibri" w:eastAsia="Arial" w:hAnsi="Calibri" w:cs="Calibri"/>
          <w:b/>
          <w:bCs/>
          <w:color w:val="1F3B57"/>
          <w:sz w:val="32"/>
          <w:szCs w:val="32"/>
          <w:rtl/>
        </w:rPr>
        <w:t>الحريق</w:t>
      </w:r>
    </w:p>
    <w:p w14:paraId="1F5CFD4E" w14:textId="77777777" w:rsidR="00364C14" w:rsidRPr="00364C14" w:rsidRDefault="00364C14" w:rsidP="00291B05">
      <w:pPr>
        <w:bidi/>
        <w:spacing w:after="100"/>
        <w:rPr>
          <w:rFonts w:ascii="Calibri" w:hAnsi="Calibri" w:cs="Calibri"/>
          <w:sz w:val="28"/>
          <w:szCs w:val="28"/>
        </w:rPr>
      </w:pPr>
      <w:r w:rsidRPr="00364C14">
        <w:rPr>
          <w:rFonts w:ascii="Calibri" w:eastAsia="Arial" w:hAnsi="Calibri" w:cs="Calibri"/>
          <w:b/>
          <w:bCs/>
          <w:color w:val="1F3B57"/>
          <w:sz w:val="28"/>
          <w:szCs w:val="28"/>
          <w:rtl/>
        </w:rPr>
        <w:t>الهدف</w:t>
      </w:r>
    </w:p>
    <w:p w14:paraId="4D6E6CE1" w14:textId="2A94E7A4" w:rsidR="00364C14" w:rsidRPr="00364C14" w:rsidRDefault="00364C14" w:rsidP="00291B05">
      <w:pPr>
        <w:bidi/>
        <w:spacing w:after="100"/>
        <w:rPr>
          <w:rFonts w:ascii="Calibri" w:hAnsi="Calibri" w:cs="Calibri"/>
          <w:sz w:val="28"/>
          <w:szCs w:val="28"/>
        </w:rPr>
      </w:pPr>
      <w:r w:rsidRPr="00364C14">
        <w:rPr>
          <w:rFonts w:ascii="Calibri" w:eastAsia="Arial" w:hAnsi="Calibri" w:cs="Calibri"/>
          <w:sz w:val="28"/>
          <w:szCs w:val="28"/>
          <w:rtl/>
        </w:rPr>
        <w:t xml:space="preserve">تقليل </w:t>
      </w:r>
      <w:r w:rsidRPr="00364C14">
        <w:rPr>
          <w:rFonts w:ascii="Calibri" w:eastAsia="Arial" w:hAnsi="Calibri" w:cs="Calibri" w:hint="cs"/>
          <w:sz w:val="28"/>
          <w:szCs w:val="28"/>
          <w:rtl/>
        </w:rPr>
        <w:t>أخطار</w:t>
      </w:r>
      <w:r w:rsidRPr="00364C14">
        <w:rPr>
          <w:rFonts w:ascii="Calibri" w:eastAsia="Arial" w:hAnsi="Calibri" w:cs="Calibri"/>
          <w:sz w:val="28"/>
          <w:szCs w:val="28"/>
          <w:rtl/>
        </w:rPr>
        <w:t xml:space="preserve"> الحريق وحماية العاملين والمباني والماكينات والمخزون من الخسائر الناتجة عنه.</w:t>
      </w:r>
    </w:p>
    <w:p w14:paraId="2053E1E3" w14:textId="77777777" w:rsidR="00364C14" w:rsidRPr="00364C14" w:rsidRDefault="00364C14" w:rsidP="00291B05">
      <w:pPr>
        <w:bidi/>
        <w:spacing w:after="100"/>
        <w:rPr>
          <w:rFonts w:ascii="Calibri" w:hAnsi="Calibri" w:cs="Calibri"/>
          <w:sz w:val="28"/>
          <w:szCs w:val="28"/>
        </w:rPr>
      </w:pPr>
      <w:r w:rsidRPr="00364C14">
        <w:rPr>
          <w:rFonts w:ascii="Calibri" w:eastAsia="Arial" w:hAnsi="Calibri" w:cs="Calibri"/>
          <w:b/>
          <w:bCs/>
          <w:color w:val="1F3B57"/>
          <w:sz w:val="28"/>
          <w:szCs w:val="28"/>
          <w:rtl/>
        </w:rPr>
        <w:t>إجراءات وقائية</w:t>
      </w:r>
    </w:p>
    <w:p w14:paraId="4D0D7564"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تقييم دوري لمخاطر الحريق في مناطق الإنتاج والتخزين والمخازن.</w:t>
      </w:r>
    </w:p>
    <w:p w14:paraId="185D5273"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صيانة وفحص دوري لأجهزة إنذار الحريق وكاشفات الدخان وأنظمة الرش الآلي/الطفايات.</w:t>
      </w:r>
    </w:p>
    <w:p w14:paraId="4F30C671"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فحص دوري لطفايات الحريق وبكرات الخراطيم مع تحديث بطاقات الفحص.</w:t>
      </w:r>
    </w:p>
    <w:p w14:paraId="1D39AD87"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تطبيق صارم لسياسة منع التدخين داخل مناطق الإنتاج والتخزين.</w:t>
      </w:r>
    </w:p>
    <w:p w14:paraId="48C2CAAA"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تخزين آمن ومنفصل للمواد القابلة للاشتعال (الخيوط، الكيماويات، الأصباغ) بعيدًا عن مصادر الاشتعال.</w:t>
      </w:r>
    </w:p>
    <w:p w14:paraId="73E5C58E"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فحص دوري للتوصيلات واللوحات الكهربائية، وإجراء تدريبات إخلاء مرتين سنويًا على الأقل.</w:t>
      </w:r>
    </w:p>
    <w:p w14:paraId="50D8C4B5" w14:textId="77777777" w:rsidR="00364C14" w:rsidRPr="00364C14" w:rsidRDefault="00364C14" w:rsidP="00291B05">
      <w:pPr>
        <w:bidi/>
        <w:spacing w:after="100"/>
        <w:rPr>
          <w:rFonts w:ascii="Calibri" w:hAnsi="Calibri" w:cs="Calibri"/>
          <w:sz w:val="28"/>
          <w:szCs w:val="28"/>
        </w:rPr>
      </w:pPr>
      <w:r w:rsidRPr="00364C14">
        <w:rPr>
          <w:rFonts w:ascii="Calibri" w:eastAsia="Arial" w:hAnsi="Calibri" w:cs="Calibri"/>
          <w:b/>
          <w:bCs/>
          <w:color w:val="1F3B57"/>
          <w:sz w:val="28"/>
          <w:szCs w:val="28"/>
          <w:rtl/>
        </w:rPr>
        <w:t>إجراءات الاستجابة</w:t>
      </w:r>
    </w:p>
    <w:p w14:paraId="26FF31CA"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1. تفعيل جرس الإنذار فور اكتشاف الحريق.</w:t>
      </w:r>
    </w:p>
    <w:p w14:paraId="2725EAA6"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2. إخلاء المبنى عبر مسارات الإخلاء المعلنة والتوجه لنقطة التجمع.</w:t>
      </w:r>
    </w:p>
    <w:p w14:paraId="74A7BB18"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3. قيام مسؤولي الإخلاء بحصر العاملين والإبلاغ عن أي شخص مفقود.</w:t>
      </w:r>
    </w:p>
    <w:p w14:paraId="61C16AEC"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4. يجوز للعاملين المدربين استخدام الطفايات فقط في حالة الحرائق الصغيرة القابلة للسيطرة، وإلا يتم الإخلاء فورًا.</w:t>
      </w:r>
    </w:p>
    <w:p w14:paraId="542FCC74"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5. الاتصال بالدفاع المدني/الإطفاء وتحديد الموقع بدقة.</w:t>
      </w:r>
    </w:p>
    <w:p w14:paraId="48C36D7C"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6. عدم العودة للمبنى إلا بعد تصريح جهة الإطفاء أو مدير المصنع.</w:t>
      </w:r>
    </w:p>
    <w:p w14:paraId="2643E3D9" w14:textId="0C4C04BE" w:rsidR="001F56DD" w:rsidRDefault="00364C14" w:rsidP="00291B05">
      <w:pPr>
        <w:bidi/>
        <w:spacing w:before="240" w:after="100"/>
        <w:rPr>
          <w:rFonts w:ascii="Calibri" w:eastAsia="Arial" w:hAnsi="Calibri" w:cs="Calibri"/>
          <w:b/>
          <w:bCs/>
          <w:color w:val="1F3B57"/>
          <w:sz w:val="28"/>
          <w:szCs w:val="28"/>
        </w:rPr>
      </w:pPr>
      <w:r w:rsidRPr="00364C14">
        <w:rPr>
          <w:rFonts w:ascii="Calibri" w:eastAsia="Arial" w:hAnsi="Calibri" w:cs="Calibri"/>
          <w:b/>
          <w:bCs/>
          <w:color w:val="1F3B57"/>
          <w:sz w:val="28"/>
          <w:szCs w:val="28"/>
          <w:rtl/>
        </w:rPr>
        <w:t>الجهة المسؤولة: مسؤول السلامة / مسؤولو الإخلاء / فريق الطوارئ</w:t>
      </w:r>
      <w:r w:rsidR="001F56DD" w:rsidRPr="00364C14">
        <w:rPr>
          <w:rFonts w:ascii="Calibri" w:eastAsia="Arial" w:hAnsi="Calibri" w:cs="Calibri"/>
          <w:b/>
          <w:bCs/>
          <w:color w:val="1F3B57"/>
          <w:sz w:val="28"/>
          <w:szCs w:val="28"/>
          <w:rtl/>
        </w:rPr>
        <w:t xml:space="preserve"> </w:t>
      </w:r>
    </w:p>
    <w:p w14:paraId="5ED12348" w14:textId="77777777" w:rsidR="00291B05" w:rsidRDefault="00291B05" w:rsidP="00291B05">
      <w:pPr>
        <w:bidi/>
        <w:spacing w:before="240" w:after="100"/>
        <w:rPr>
          <w:rFonts w:ascii="Calibri" w:eastAsia="Arial" w:hAnsi="Calibri" w:cs="Calibri"/>
          <w:b/>
          <w:bCs/>
          <w:color w:val="1F3B57"/>
          <w:sz w:val="28"/>
          <w:szCs w:val="28"/>
        </w:rPr>
      </w:pPr>
    </w:p>
    <w:p w14:paraId="2AC8E096" w14:textId="14BA892B" w:rsidR="00364C14" w:rsidRDefault="00364C14" w:rsidP="00291B05">
      <w:pPr>
        <w:pStyle w:val="ListParagraph"/>
        <w:numPr>
          <w:ilvl w:val="0"/>
          <w:numId w:val="5"/>
        </w:numPr>
        <w:bidi/>
        <w:spacing w:before="240" w:after="100"/>
        <w:rPr>
          <w:rFonts w:ascii="Calibri" w:eastAsia="Arial" w:hAnsi="Calibri" w:cs="Calibri"/>
          <w:b/>
          <w:bCs/>
          <w:color w:val="1F3B57"/>
          <w:sz w:val="32"/>
          <w:szCs w:val="32"/>
        </w:rPr>
      </w:pPr>
      <w:r w:rsidRPr="00364C14">
        <w:rPr>
          <w:rFonts w:ascii="Calibri" w:eastAsia="Arial" w:hAnsi="Calibri" w:cs="Calibri"/>
          <w:b/>
          <w:bCs/>
          <w:color w:val="1F3B57"/>
          <w:sz w:val="32"/>
          <w:szCs w:val="32"/>
          <w:rtl/>
        </w:rPr>
        <w:lastRenderedPageBreak/>
        <w:t>انقطاع الكهرباء</w:t>
      </w:r>
    </w:p>
    <w:p w14:paraId="5BCAC321" w14:textId="77777777" w:rsidR="00364C14" w:rsidRPr="00364C14" w:rsidRDefault="00364C14" w:rsidP="00291B05">
      <w:pPr>
        <w:bidi/>
        <w:spacing w:after="100"/>
        <w:rPr>
          <w:rFonts w:ascii="Calibri" w:hAnsi="Calibri" w:cs="Calibri"/>
          <w:sz w:val="28"/>
          <w:szCs w:val="28"/>
        </w:rPr>
      </w:pPr>
      <w:r w:rsidRPr="00364C14">
        <w:rPr>
          <w:rFonts w:ascii="Calibri" w:eastAsia="Arial" w:hAnsi="Calibri" w:cs="Calibri"/>
          <w:b/>
          <w:bCs/>
          <w:color w:val="1F3B57"/>
          <w:sz w:val="28"/>
          <w:szCs w:val="28"/>
          <w:rtl/>
        </w:rPr>
        <w:t>الهدف</w:t>
      </w:r>
    </w:p>
    <w:p w14:paraId="0CACA813" w14:textId="77777777" w:rsidR="00364C14" w:rsidRPr="00364C14" w:rsidRDefault="00364C14" w:rsidP="00291B05">
      <w:pPr>
        <w:bidi/>
        <w:spacing w:after="100"/>
        <w:rPr>
          <w:rFonts w:ascii="Calibri" w:hAnsi="Calibri" w:cs="Calibri"/>
          <w:sz w:val="28"/>
          <w:szCs w:val="28"/>
        </w:rPr>
      </w:pPr>
      <w:r w:rsidRPr="00364C14">
        <w:rPr>
          <w:rFonts w:ascii="Calibri" w:eastAsia="Arial" w:hAnsi="Calibri" w:cs="Calibri"/>
          <w:sz w:val="28"/>
          <w:szCs w:val="28"/>
          <w:rtl/>
        </w:rPr>
        <w:t>ضمان استمرارية العمليات الحرجة وأنظمة الأمن وسلامة البيانات في حالة انقطاع التيار الكهربائي.</w:t>
      </w:r>
    </w:p>
    <w:p w14:paraId="56B8A7A2" w14:textId="77777777" w:rsidR="00364C14" w:rsidRPr="00364C14" w:rsidRDefault="00364C14" w:rsidP="00291B05">
      <w:pPr>
        <w:bidi/>
        <w:spacing w:after="100"/>
        <w:rPr>
          <w:rFonts w:ascii="Calibri" w:hAnsi="Calibri" w:cs="Calibri"/>
          <w:sz w:val="28"/>
          <w:szCs w:val="28"/>
        </w:rPr>
      </w:pPr>
      <w:r w:rsidRPr="00364C14">
        <w:rPr>
          <w:rFonts w:ascii="Calibri" w:eastAsia="Arial" w:hAnsi="Calibri" w:cs="Calibri"/>
          <w:b/>
          <w:bCs/>
          <w:color w:val="1F3B57"/>
          <w:sz w:val="28"/>
          <w:szCs w:val="28"/>
          <w:rtl/>
        </w:rPr>
        <w:t>إجراءات وقائية</w:t>
      </w:r>
    </w:p>
    <w:p w14:paraId="0503DDAD"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توفير مولد احتياطي ووحدات إمداد لا انقطاعي (UPS) للأحمال الحرجة (أنظمة الأمن، السيرفرات، الإنذار، إضاءة الطوارئ).</w:t>
      </w:r>
    </w:p>
    <w:p w14:paraId="005BF7F0"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اختبار دوري للمولدات والحفاظ على احتياطي كافٍ من الوقود.</w:t>
      </w:r>
    </w:p>
    <w:p w14:paraId="63436D9B"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تركيب إضاءة طوارئ عند المخارج والسلالم والممرات.</w:t>
      </w:r>
    </w:p>
    <w:p w14:paraId="2CD0AEB9"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استخدام منظمات جهد لحماية الماكينات الحساسة وأجهزة تكنولوجيا المعلومات.</w:t>
      </w:r>
    </w:p>
    <w:p w14:paraId="5CCBC825" w14:textId="77777777" w:rsidR="00364C14" w:rsidRPr="00364C14" w:rsidRDefault="00364C14" w:rsidP="00291B05">
      <w:pPr>
        <w:bidi/>
        <w:spacing w:after="100"/>
        <w:rPr>
          <w:rFonts w:ascii="Calibri" w:hAnsi="Calibri" w:cs="Calibri"/>
          <w:sz w:val="28"/>
          <w:szCs w:val="28"/>
        </w:rPr>
      </w:pPr>
      <w:r w:rsidRPr="00364C14">
        <w:rPr>
          <w:rFonts w:ascii="Calibri" w:eastAsia="Arial" w:hAnsi="Calibri" w:cs="Calibri"/>
          <w:b/>
          <w:bCs/>
          <w:color w:val="1F3B57"/>
          <w:sz w:val="28"/>
          <w:szCs w:val="28"/>
          <w:rtl/>
        </w:rPr>
        <w:t>إجراءات الاستجابة</w:t>
      </w:r>
    </w:p>
    <w:p w14:paraId="10CA2496"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1. التحول فورًا إلى مصدر الطاقة الاحتياطي/المولد.</w:t>
      </w:r>
    </w:p>
    <w:p w14:paraId="35EA4C9C"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2. التأكد من استمرار عمل أنظمة الكاميرات والتحكم في الدخول والإنذار بكفاءة.</w:t>
      </w:r>
    </w:p>
    <w:p w14:paraId="7889C666"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3. إخطار فريق الصيانة الكهربائية لتحديد سبب الانقطاع.</w:t>
      </w:r>
    </w:p>
    <w:p w14:paraId="588D2D11"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4. في حال استمرار الانقطاع لفترة طويلة، تأمين بيانات وعمليات الإنتاج الحرجة وإبلاغ العاملين بالمستجدات.</w:t>
      </w:r>
    </w:p>
    <w:p w14:paraId="3B06C250"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5. تسجيل توقيت بداية ونهاية الانقطاع وسببه وأثره في سجل الحوادث.</w:t>
      </w:r>
    </w:p>
    <w:p w14:paraId="007ECBD5" w14:textId="0D594870" w:rsidR="00364C14" w:rsidRDefault="00364C14" w:rsidP="00291B05">
      <w:pPr>
        <w:bidi/>
        <w:spacing w:before="240" w:after="100"/>
        <w:rPr>
          <w:rFonts w:ascii="Calibri" w:eastAsia="Arial" w:hAnsi="Calibri" w:cs="Calibri"/>
          <w:b/>
          <w:bCs/>
          <w:color w:val="1F3B57"/>
          <w:sz w:val="28"/>
          <w:szCs w:val="28"/>
        </w:rPr>
      </w:pPr>
      <w:r w:rsidRPr="00364C14">
        <w:rPr>
          <w:rFonts w:ascii="Calibri" w:eastAsia="Arial" w:hAnsi="Calibri" w:cs="Calibri"/>
          <w:b/>
          <w:bCs/>
          <w:color w:val="1F3B57"/>
          <w:sz w:val="28"/>
          <w:szCs w:val="28"/>
          <w:rtl/>
        </w:rPr>
        <w:t>الجهة المسؤولة: مدير الصيانة / المرافق</w:t>
      </w:r>
    </w:p>
    <w:p w14:paraId="79BCAD6B" w14:textId="7828D39C" w:rsidR="00364C14" w:rsidRDefault="00364C14" w:rsidP="00291B05">
      <w:pPr>
        <w:pStyle w:val="ListParagraph"/>
        <w:numPr>
          <w:ilvl w:val="0"/>
          <w:numId w:val="5"/>
        </w:numPr>
        <w:bidi/>
        <w:spacing w:before="240" w:after="100"/>
        <w:rPr>
          <w:rFonts w:ascii="Calibri" w:eastAsia="Arial" w:hAnsi="Calibri" w:cs="Calibri"/>
          <w:b/>
          <w:bCs/>
          <w:color w:val="1F3B57"/>
          <w:sz w:val="32"/>
          <w:szCs w:val="32"/>
        </w:rPr>
      </w:pPr>
      <w:r w:rsidRPr="00364C14">
        <w:rPr>
          <w:rFonts w:ascii="Calibri" w:eastAsia="Arial" w:hAnsi="Calibri" w:cs="Calibri"/>
          <w:b/>
          <w:bCs/>
          <w:color w:val="1F3B57"/>
          <w:sz w:val="32"/>
          <w:szCs w:val="32"/>
          <w:rtl/>
        </w:rPr>
        <w:t>الكوارث الطبيعية</w:t>
      </w:r>
    </w:p>
    <w:p w14:paraId="7D7A2916" w14:textId="77777777" w:rsidR="00364C14" w:rsidRPr="00364C14" w:rsidRDefault="00364C14" w:rsidP="00291B05">
      <w:pPr>
        <w:bidi/>
        <w:spacing w:after="100"/>
        <w:rPr>
          <w:sz w:val="28"/>
          <w:szCs w:val="28"/>
        </w:rPr>
      </w:pPr>
      <w:r w:rsidRPr="00364C14">
        <w:rPr>
          <w:rFonts w:ascii="Arial" w:eastAsia="Arial" w:hAnsi="Arial" w:cs="Arial"/>
          <w:b/>
          <w:bCs/>
          <w:color w:val="1F3B57"/>
          <w:sz w:val="28"/>
          <w:szCs w:val="28"/>
          <w:rtl/>
        </w:rPr>
        <w:t>الهدف</w:t>
      </w:r>
    </w:p>
    <w:p w14:paraId="528739BC" w14:textId="77777777" w:rsidR="00364C14" w:rsidRPr="00364C14" w:rsidRDefault="00364C14" w:rsidP="00291B05">
      <w:pPr>
        <w:bidi/>
        <w:spacing w:after="100"/>
        <w:rPr>
          <w:sz w:val="28"/>
          <w:szCs w:val="28"/>
        </w:rPr>
      </w:pPr>
      <w:r w:rsidRPr="00364C14">
        <w:rPr>
          <w:rFonts w:ascii="Arial" w:eastAsia="Arial" w:hAnsi="Arial" w:cs="Arial"/>
          <w:sz w:val="28"/>
          <w:szCs w:val="28"/>
          <w:rtl/>
        </w:rPr>
        <w:t xml:space="preserve">حماية الأرواح والممتلكات في حالة </w:t>
      </w:r>
      <w:proofErr w:type="gramStart"/>
      <w:r w:rsidRPr="00364C14">
        <w:rPr>
          <w:rFonts w:ascii="Arial" w:eastAsia="Arial" w:hAnsi="Arial" w:cs="Arial"/>
          <w:sz w:val="28"/>
          <w:szCs w:val="28"/>
          <w:rtl/>
        </w:rPr>
        <w:t>الفيضانات</w:t>
      </w:r>
      <w:proofErr w:type="gramEnd"/>
      <w:r w:rsidRPr="00364C14">
        <w:rPr>
          <w:rFonts w:ascii="Arial" w:eastAsia="Arial" w:hAnsi="Arial" w:cs="Arial"/>
          <w:sz w:val="28"/>
          <w:szCs w:val="28"/>
          <w:rtl/>
        </w:rPr>
        <w:t xml:space="preserve"> أو الزلازل أو العواصف الشديدة أو غيرها من الأخطار الطبيعية.</w:t>
      </w:r>
    </w:p>
    <w:p w14:paraId="28BECE2B" w14:textId="77777777" w:rsidR="00364C14" w:rsidRPr="00364C14" w:rsidRDefault="00364C14" w:rsidP="00291B05">
      <w:pPr>
        <w:bidi/>
        <w:spacing w:after="100"/>
        <w:rPr>
          <w:sz w:val="28"/>
          <w:szCs w:val="28"/>
        </w:rPr>
      </w:pPr>
      <w:r w:rsidRPr="00364C14">
        <w:rPr>
          <w:rFonts w:ascii="Arial" w:eastAsia="Arial" w:hAnsi="Arial" w:cs="Arial"/>
          <w:b/>
          <w:bCs/>
          <w:color w:val="1F3B57"/>
          <w:sz w:val="28"/>
          <w:szCs w:val="28"/>
          <w:rtl/>
        </w:rPr>
        <w:t>إجراءات وقائية</w:t>
      </w:r>
    </w:p>
    <w:p w14:paraId="3AF81E8A" w14:textId="77777777" w:rsidR="00364C14" w:rsidRPr="00364C14" w:rsidRDefault="00364C14" w:rsidP="00291B05">
      <w:pPr>
        <w:bidi/>
        <w:spacing w:after="60"/>
        <w:ind w:right="300"/>
        <w:rPr>
          <w:sz w:val="28"/>
          <w:szCs w:val="28"/>
        </w:rPr>
      </w:pPr>
      <w:r w:rsidRPr="00364C14">
        <w:rPr>
          <w:rFonts w:ascii="Arial" w:eastAsia="Arial" w:hAnsi="Arial" w:cs="Arial"/>
          <w:sz w:val="28"/>
          <w:szCs w:val="28"/>
          <w:rtl/>
        </w:rPr>
        <w:t>•  تقييم دوري للسلامة الإنشائية للمباني والأسطح.</w:t>
      </w:r>
    </w:p>
    <w:p w14:paraId="5BB86295" w14:textId="6D03836A" w:rsidR="00364C14" w:rsidRPr="00364C14" w:rsidRDefault="00364C14" w:rsidP="00291B05">
      <w:pPr>
        <w:bidi/>
        <w:spacing w:after="60"/>
        <w:ind w:right="300"/>
        <w:rPr>
          <w:sz w:val="28"/>
          <w:szCs w:val="28"/>
        </w:rPr>
      </w:pPr>
      <w:r w:rsidRPr="00364C14">
        <w:rPr>
          <w:rFonts w:ascii="Arial" w:eastAsia="Arial" w:hAnsi="Arial" w:cs="Arial"/>
          <w:sz w:val="28"/>
          <w:szCs w:val="28"/>
          <w:rtl/>
        </w:rPr>
        <w:t xml:space="preserve">•  صيانة شبكات الصرف والتأكد من عدم انسدادها لتقليل </w:t>
      </w:r>
      <w:r w:rsidR="00291B05" w:rsidRPr="00364C14">
        <w:rPr>
          <w:rFonts w:ascii="Arial" w:eastAsia="Arial" w:hAnsi="Arial" w:cs="Arial" w:hint="cs"/>
          <w:sz w:val="28"/>
          <w:szCs w:val="28"/>
          <w:rtl/>
        </w:rPr>
        <w:t>أخطار</w:t>
      </w:r>
      <w:r w:rsidRPr="00364C14">
        <w:rPr>
          <w:rFonts w:ascii="Arial" w:eastAsia="Arial" w:hAnsi="Arial" w:cs="Arial"/>
          <w:sz w:val="28"/>
          <w:szCs w:val="28"/>
          <w:rtl/>
        </w:rPr>
        <w:t xml:space="preserve"> الفيضانات.</w:t>
      </w:r>
    </w:p>
    <w:p w14:paraId="4BAACEC9" w14:textId="77777777" w:rsidR="00364C14" w:rsidRPr="00364C14" w:rsidRDefault="00364C14" w:rsidP="00291B05">
      <w:pPr>
        <w:bidi/>
        <w:spacing w:after="60"/>
        <w:ind w:right="300"/>
        <w:rPr>
          <w:sz w:val="28"/>
          <w:szCs w:val="28"/>
        </w:rPr>
      </w:pPr>
      <w:r w:rsidRPr="00364C14">
        <w:rPr>
          <w:rFonts w:ascii="Arial" w:eastAsia="Arial" w:hAnsi="Arial" w:cs="Arial"/>
          <w:sz w:val="28"/>
          <w:szCs w:val="28"/>
          <w:rtl/>
        </w:rPr>
        <w:t>•  توفير حقائب طوارئ (إسعافات أولية، مياه، إضاءة، بطاريات).</w:t>
      </w:r>
    </w:p>
    <w:p w14:paraId="72CBDAFF" w14:textId="77777777" w:rsidR="00364C14" w:rsidRPr="00364C14" w:rsidRDefault="00364C14" w:rsidP="00291B05">
      <w:pPr>
        <w:bidi/>
        <w:spacing w:after="60"/>
        <w:ind w:right="300"/>
        <w:rPr>
          <w:sz w:val="28"/>
          <w:szCs w:val="28"/>
        </w:rPr>
      </w:pPr>
      <w:r w:rsidRPr="00364C14">
        <w:rPr>
          <w:rFonts w:ascii="Arial" w:eastAsia="Arial" w:hAnsi="Arial" w:cs="Arial"/>
          <w:sz w:val="28"/>
          <w:szCs w:val="28"/>
          <w:rtl/>
        </w:rPr>
        <w:t>•  متابعة تحذيرات الأرصاد الجوية والتنسيق مع جهات الحماية المدنية المحلية.</w:t>
      </w:r>
    </w:p>
    <w:p w14:paraId="119D4AA5" w14:textId="77777777" w:rsidR="00364C14" w:rsidRPr="00364C14" w:rsidRDefault="00364C14" w:rsidP="00291B05">
      <w:pPr>
        <w:bidi/>
        <w:spacing w:after="100"/>
        <w:rPr>
          <w:sz w:val="28"/>
          <w:szCs w:val="28"/>
        </w:rPr>
      </w:pPr>
      <w:r w:rsidRPr="00364C14">
        <w:rPr>
          <w:rFonts w:ascii="Arial" w:eastAsia="Arial" w:hAnsi="Arial" w:cs="Arial"/>
          <w:b/>
          <w:bCs/>
          <w:color w:val="1F3B57"/>
          <w:sz w:val="28"/>
          <w:szCs w:val="28"/>
          <w:rtl/>
        </w:rPr>
        <w:t>إجراءات الاستجابة</w:t>
      </w:r>
    </w:p>
    <w:p w14:paraId="5A4565E5" w14:textId="77777777" w:rsidR="00364C14" w:rsidRPr="00364C14" w:rsidRDefault="00364C14" w:rsidP="00291B05">
      <w:pPr>
        <w:bidi/>
        <w:spacing w:after="60"/>
        <w:ind w:right="300"/>
        <w:rPr>
          <w:sz w:val="28"/>
          <w:szCs w:val="28"/>
        </w:rPr>
      </w:pPr>
      <w:r w:rsidRPr="00364C14">
        <w:rPr>
          <w:rFonts w:ascii="Arial" w:eastAsia="Arial" w:hAnsi="Arial" w:cs="Arial"/>
          <w:sz w:val="28"/>
          <w:szCs w:val="28"/>
          <w:rtl/>
        </w:rPr>
        <w:t>•  1. اتباع تعليمات الإخلاء أو الاحتماء المعلنة بحسب الحالة.</w:t>
      </w:r>
    </w:p>
    <w:p w14:paraId="3362E6BF" w14:textId="77777777" w:rsidR="00364C14" w:rsidRPr="00364C14" w:rsidRDefault="00364C14" w:rsidP="00291B05">
      <w:pPr>
        <w:bidi/>
        <w:spacing w:after="60"/>
        <w:ind w:right="300"/>
        <w:rPr>
          <w:sz w:val="28"/>
          <w:szCs w:val="28"/>
        </w:rPr>
      </w:pPr>
      <w:r w:rsidRPr="00364C14">
        <w:rPr>
          <w:rFonts w:ascii="Arial" w:eastAsia="Arial" w:hAnsi="Arial" w:cs="Arial"/>
          <w:sz w:val="28"/>
          <w:szCs w:val="28"/>
          <w:rtl/>
        </w:rPr>
        <w:t>•  2. حصر جميع العاملين من خلال رؤساء الأقسام/مسؤولي الإخلاء.</w:t>
      </w:r>
    </w:p>
    <w:p w14:paraId="743AFE15" w14:textId="77777777" w:rsidR="00364C14" w:rsidRPr="00364C14" w:rsidRDefault="00364C14" w:rsidP="00291B05">
      <w:pPr>
        <w:bidi/>
        <w:spacing w:after="60"/>
        <w:ind w:right="300"/>
        <w:rPr>
          <w:sz w:val="28"/>
          <w:szCs w:val="28"/>
        </w:rPr>
      </w:pPr>
      <w:r w:rsidRPr="00364C14">
        <w:rPr>
          <w:rFonts w:ascii="Arial" w:eastAsia="Arial" w:hAnsi="Arial" w:cs="Arial"/>
          <w:sz w:val="28"/>
          <w:szCs w:val="28"/>
          <w:rtl/>
        </w:rPr>
        <w:lastRenderedPageBreak/>
        <w:t>•  3. إيقاف الماكينات والتيار الكهربائي إذا صدرت تعليمات بذلك.</w:t>
      </w:r>
    </w:p>
    <w:p w14:paraId="16325D86" w14:textId="77777777" w:rsidR="00364C14" w:rsidRPr="00364C14" w:rsidRDefault="00364C14" w:rsidP="00291B05">
      <w:pPr>
        <w:bidi/>
        <w:spacing w:after="60"/>
        <w:ind w:right="300"/>
        <w:rPr>
          <w:sz w:val="28"/>
          <w:szCs w:val="28"/>
        </w:rPr>
      </w:pPr>
      <w:r w:rsidRPr="00364C14">
        <w:rPr>
          <w:rFonts w:ascii="Arial" w:eastAsia="Arial" w:hAnsi="Arial" w:cs="Arial"/>
          <w:sz w:val="28"/>
          <w:szCs w:val="28"/>
          <w:rtl/>
        </w:rPr>
        <w:t>•  4. التنسيق مع الحماية المدنية أو جهات الطوارئ المحلية لتلقي التوجيهات.</w:t>
      </w:r>
    </w:p>
    <w:p w14:paraId="253A94C1" w14:textId="77777777" w:rsidR="00364C14" w:rsidRPr="00364C14" w:rsidRDefault="00364C14" w:rsidP="00291B05">
      <w:pPr>
        <w:bidi/>
        <w:spacing w:after="60"/>
        <w:ind w:right="300"/>
        <w:rPr>
          <w:sz w:val="28"/>
          <w:szCs w:val="28"/>
        </w:rPr>
      </w:pPr>
      <w:r w:rsidRPr="00364C14">
        <w:rPr>
          <w:rFonts w:ascii="Arial" w:eastAsia="Arial" w:hAnsi="Arial" w:cs="Arial"/>
          <w:sz w:val="28"/>
          <w:szCs w:val="28"/>
          <w:rtl/>
        </w:rPr>
        <w:t>•  5. تقييم وتوثيق الأضرار بعد التأكد من الأمان، وإبلاغ الإدارة.</w:t>
      </w:r>
    </w:p>
    <w:p w14:paraId="7F1D0A0F" w14:textId="536976FF" w:rsidR="00364C14" w:rsidRDefault="00364C14" w:rsidP="00291B05">
      <w:pPr>
        <w:bidi/>
        <w:spacing w:before="240" w:after="100"/>
        <w:rPr>
          <w:rFonts w:ascii="Arial" w:eastAsia="Arial" w:hAnsi="Arial" w:cs="Arial"/>
          <w:b/>
          <w:bCs/>
          <w:color w:val="1F3B57"/>
          <w:sz w:val="28"/>
          <w:szCs w:val="28"/>
        </w:rPr>
      </w:pPr>
      <w:r w:rsidRPr="00364C14">
        <w:rPr>
          <w:rFonts w:ascii="Arial" w:eastAsia="Arial" w:hAnsi="Arial" w:cs="Arial"/>
          <w:b/>
          <w:bCs/>
          <w:color w:val="1F3B57"/>
          <w:sz w:val="28"/>
          <w:szCs w:val="28"/>
          <w:rtl/>
        </w:rPr>
        <w:t>الجهة المسؤولة: فريق الاستجابة للطوارئ / مدير المرافق</w:t>
      </w:r>
    </w:p>
    <w:p w14:paraId="715E5A8F" w14:textId="552CD461" w:rsidR="00364C14" w:rsidRDefault="00364C14" w:rsidP="00291B05">
      <w:pPr>
        <w:pStyle w:val="ListParagraph"/>
        <w:numPr>
          <w:ilvl w:val="0"/>
          <w:numId w:val="5"/>
        </w:numPr>
        <w:bidi/>
        <w:spacing w:before="240" w:after="100"/>
        <w:rPr>
          <w:rFonts w:ascii="Calibri" w:eastAsia="Arial" w:hAnsi="Calibri" w:cs="Calibri"/>
          <w:b/>
          <w:bCs/>
          <w:color w:val="1F3B57"/>
          <w:sz w:val="32"/>
          <w:szCs w:val="32"/>
        </w:rPr>
      </w:pPr>
      <w:r w:rsidRPr="00364C14">
        <w:rPr>
          <w:rFonts w:ascii="Calibri" w:eastAsia="Arial" w:hAnsi="Calibri" w:cs="Calibri"/>
          <w:b/>
          <w:bCs/>
          <w:color w:val="1F3B57"/>
          <w:sz w:val="32"/>
          <w:szCs w:val="32"/>
          <w:rtl/>
        </w:rPr>
        <w:t>التهديدات الأمنية</w:t>
      </w:r>
    </w:p>
    <w:p w14:paraId="56346E51" w14:textId="77777777" w:rsidR="00364C14" w:rsidRPr="00364C14" w:rsidRDefault="00364C14" w:rsidP="00291B05">
      <w:pPr>
        <w:bidi/>
        <w:spacing w:after="100"/>
        <w:rPr>
          <w:rFonts w:ascii="Calibri" w:hAnsi="Calibri" w:cs="Calibri"/>
          <w:sz w:val="28"/>
          <w:szCs w:val="28"/>
        </w:rPr>
      </w:pPr>
      <w:r w:rsidRPr="00364C14">
        <w:rPr>
          <w:rFonts w:ascii="Calibri" w:eastAsia="Arial" w:hAnsi="Calibri" w:cs="Calibri"/>
          <w:b/>
          <w:bCs/>
          <w:color w:val="1F3B57"/>
          <w:sz w:val="28"/>
          <w:szCs w:val="28"/>
          <w:rtl/>
        </w:rPr>
        <w:t>الهدف</w:t>
      </w:r>
    </w:p>
    <w:p w14:paraId="3478EA6D" w14:textId="77777777" w:rsidR="00364C14" w:rsidRPr="00364C14" w:rsidRDefault="00364C14" w:rsidP="00291B05">
      <w:pPr>
        <w:bidi/>
        <w:spacing w:after="100"/>
        <w:rPr>
          <w:rFonts w:ascii="Calibri" w:hAnsi="Calibri" w:cs="Calibri"/>
          <w:sz w:val="28"/>
          <w:szCs w:val="28"/>
        </w:rPr>
      </w:pPr>
      <w:r w:rsidRPr="00364C14">
        <w:rPr>
          <w:rFonts w:ascii="Calibri" w:eastAsia="Arial" w:hAnsi="Calibri" w:cs="Calibri"/>
          <w:sz w:val="28"/>
          <w:szCs w:val="28"/>
          <w:rtl/>
        </w:rPr>
        <w:t xml:space="preserve">حماية العاملين والعمليات من التهديدات المتعمدة مثل البلاغات بوجود </w:t>
      </w:r>
      <w:proofErr w:type="gramStart"/>
      <w:r w:rsidRPr="00364C14">
        <w:rPr>
          <w:rFonts w:ascii="Calibri" w:eastAsia="Arial" w:hAnsi="Calibri" w:cs="Calibri"/>
          <w:sz w:val="28"/>
          <w:szCs w:val="28"/>
          <w:rtl/>
        </w:rPr>
        <w:t>متفجرات</w:t>
      </w:r>
      <w:proofErr w:type="gramEnd"/>
      <w:r w:rsidRPr="00364C14">
        <w:rPr>
          <w:rFonts w:ascii="Calibri" w:eastAsia="Arial" w:hAnsi="Calibri" w:cs="Calibri"/>
          <w:sz w:val="28"/>
          <w:szCs w:val="28"/>
          <w:rtl/>
        </w:rPr>
        <w:t xml:space="preserve"> أو التخريب أو التهديد المسلح أو الاضطرابات المدنية.</w:t>
      </w:r>
    </w:p>
    <w:p w14:paraId="1DC618A3" w14:textId="77777777" w:rsidR="00364C14" w:rsidRPr="00364C14" w:rsidRDefault="00364C14" w:rsidP="00291B05">
      <w:pPr>
        <w:bidi/>
        <w:spacing w:after="100"/>
        <w:rPr>
          <w:rFonts w:ascii="Calibri" w:hAnsi="Calibri" w:cs="Calibri"/>
          <w:sz w:val="28"/>
          <w:szCs w:val="28"/>
        </w:rPr>
      </w:pPr>
      <w:r w:rsidRPr="00364C14">
        <w:rPr>
          <w:rFonts w:ascii="Calibri" w:eastAsia="Arial" w:hAnsi="Calibri" w:cs="Calibri"/>
          <w:b/>
          <w:bCs/>
          <w:color w:val="1F3B57"/>
          <w:sz w:val="28"/>
          <w:szCs w:val="28"/>
          <w:rtl/>
        </w:rPr>
        <w:t>إجراءات وقائية</w:t>
      </w:r>
    </w:p>
    <w:p w14:paraId="53ABF22A" w14:textId="23B88486"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xml:space="preserve">•  تطبيق ضوابط دخول </w:t>
      </w:r>
      <w:r w:rsidR="005F4CF7" w:rsidRPr="00364C14">
        <w:rPr>
          <w:rFonts w:ascii="Calibri" w:eastAsia="Arial" w:hAnsi="Calibri" w:cs="Calibri" w:hint="cs"/>
          <w:sz w:val="28"/>
          <w:szCs w:val="28"/>
          <w:rtl/>
        </w:rPr>
        <w:t>صارمة</w:t>
      </w:r>
      <w:r w:rsidR="005F4CF7" w:rsidRPr="00364C14">
        <w:rPr>
          <w:rFonts w:ascii="Calibri" w:eastAsia="Arial" w:hAnsi="Calibri" w:cs="Calibri" w:hint="eastAsia"/>
          <w:sz w:val="28"/>
          <w:szCs w:val="28"/>
          <w:rtl/>
        </w:rPr>
        <w:t>،</w:t>
      </w:r>
      <w:r w:rsidRPr="00364C14">
        <w:rPr>
          <w:rFonts w:ascii="Calibri" w:eastAsia="Arial" w:hAnsi="Calibri" w:cs="Calibri"/>
          <w:sz w:val="28"/>
          <w:szCs w:val="28"/>
          <w:rtl/>
        </w:rPr>
        <w:t xml:space="preserve"> </w:t>
      </w:r>
      <w:proofErr w:type="gramStart"/>
      <w:r w:rsidRPr="00364C14">
        <w:rPr>
          <w:rFonts w:ascii="Calibri" w:eastAsia="Arial" w:hAnsi="Calibri" w:cs="Calibri"/>
          <w:sz w:val="28"/>
          <w:szCs w:val="28"/>
          <w:rtl/>
        </w:rPr>
        <w:t xml:space="preserve">وفحص الزوار </w:t>
      </w:r>
      <w:proofErr w:type="gramEnd"/>
      <w:r w:rsidRPr="00364C14">
        <w:rPr>
          <w:rFonts w:ascii="Calibri" w:eastAsia="Arial" w:hAnsi="Calibri" w:cs="Calibri"/>
          <w:sz w:val="28"/>
          <w:szCs w:val="28"/>
          <w:rtl/>
        </w:rPr>
        <w:t>والموردين والتوصيلات.</w:t>
      </w:r>
    </w:p>
    <w:p w14:paraId="06762401"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تدريب العاملين على التعرف على السلوكيات أو الطرود أو المركبات المشبوهة.</w:t>
      </w:r>
    </w:p>
    <w:p w14:paraId="7D4FFFAB"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التنسيق والتواصل المستمر مع الشرطة والجهات الأمنية المحلية.</w:t>
      </w:r>
    </w:p>
    <w:p w14:paraId="01104400"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توفير قناة/خط ساخن سري لإبلاغ العاملين عن أي مخاوف أمنية.</w:t>
      </w:r>
    </w:p>
    <w:p w14:paraId="680D77A8" w14:textId="77777777" w:rsidR="00364C14" w:rsidRPr="00364C14" w:rsidRDefault="00364C14" w:rsidP="00291B05">
      <w:pPr>
        <w:bidi/>
        <w:spacing w:after="100"/>
        <w:rPr>
          <w:rFonts w:ascii="Calibri" w:hAnsi="Calibri" w:cs="Calibri"/>
          <w:sz w:val="28"/>
          <w:szCs w:val="28"/>
        </w:rPr>
      </w:pPr>
      <w:r w:rsidRPr="00364C14">
        <w:rPr>
          <w:rFonts w:ascii="Calibri" w:eastAsia="Arial" w:hAnsi="Calibri" w:cs="Calibri"/>
          <w:b/>
          <w:bCs/>
          <w:color w:val="1F3B57"/>
          <w:sz w:val="28"/>
          <w:szCs w:val="28"/>
          <w:rtl/>
        </w:rPr>
        <w:t>إجراءات الاستجابة</w:t>
      </w:r>
    </w:p>
    <w:p w14:paraId="67B4690F"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1. عدم لمس أو تحريك أي جسم مشبوه، وإخلاء المنطقة المحيطة بهدوء.</w:t>
      </w:r>
    </w:p>
    <w:p w14:paraId="0F2F4183"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2. إخطار الشرطة أو الجهات المختصة فورًا.</w:t>
      </w:r>
    </w:p>
    <w:p w14:paraId="22F108FF"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3. تفعيل إجراءات الإغلاق الأمني (</w:t>
      </w:r>
      <w:proofErr w:type="spellStart"/>
      <w:r w:rsidRPr="00364C14">
        <w:rPr>
          <w:rFonts w:ascii="Calibri" w:eastAsia="Arial" w:hAnsi="Calibri" w:cs="Calibri"/>
          <w:sz w:val="28"/>
          <w:szCs w:val="28"/>
          <w:rtl/>
        </w:rPr>
        <w:t>Lockdown</w:t>
      </w:r>
      <w:proofErr w:type="spellEnd"/>
      <w:r w:rsidRPr="00364C14">
        <w:rPr>
          <w:rFonts w:ascii="Calibri" w:eastAsia="Arial" w:hAnsi="Calibri" w:cs="Calibri"/>
          <w:sz w:val="28"/>
          <w:szCs w:val="28"/>
          <w:rtl/>
        </w:rPr>
        <w:t>) عند الحاجة وبتوجيه من الإدارة.</w:t>
      </w:r>
    </w:p>
    <w:p w14:paraId="13F2E047"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4. قيام الإدارة بالتواصل مع الجهات الأمنية طوال فترة الحادث.</w:t>
      </w:r>
    </w:p>
    <w:p w14:paraId="6792BBC3" w14:textId="77777777" w:rsidR="00364C14" w:rsidRPr="00364C14" w:rsidRDefault="00364C14" w:rsidP="00291B05">
      <w:pPr>
        <w:bidi/>
        <w:spacing w:after="60"/>
        <w:ind w:right="300"/>
        <w:rPr>
          <w:rFonts w:ascii="Calibri" w:hAnsi="Calibri" w:cs="Calibri"/>
          <w:sz w:val="28"/>
          <w:szCs w:val="28"/>
        </w:rPr>
      </w:pPr>
      <w:r w:rsidRPr="00364C14">
        <w:rPr>
          <w:rFonts w:ascii="Calibri" w:eastAsia="Arial" w:hAnsi="Calibri" w:cs="Calibri"/>
          <w:sz w:val="28"/>
          <w:szCs w:val="28"/>
          <w:rtl/>
        </w:rPr>
        <w:t>•  5. إجراء مراجعة بعد الحادث وإعداد تقرير مكتوب.</w:t>
      </w:r>
    </w:p>
    <w:p w14:paraId="78CD2991" w14:textId="033A1BFC" w:rsidR="00364C14" w:rsidRDefault="00364C14" w:rsidP="00291B05">
      <w:pPr>
        <w:bidi/>
        <w:spacing w:before="240" w:after="100"/>
        <w:rPr>
          <w:rFonts w:ascii="Calibri" w:eastAsia="Arial" w:hAnsi="Calibri" w:cs="Calibri"/>
          <w:b/>
          <w:bCs/>
          <w:color w:val="1F3B57"/>
          <w:sz w:val="28"/>
          <w:szCs w:val="28"/>
        </w:rPr>
      </w:pPr>
      <w:r w:rsidRPr="00364C14">
        <w:rPr>
          <w:rFonts w:ascii="Calibri" w:eastAsia="Arial" w:hAnsi="Calibri" w:cs="Calibri"/>
          <w:b/>
          <w:bCs/>
          <w:color w:val="1F3B57"/>
          <w:sz w:val="28"/>
          <w:szCs w:val="28"/>
          <w:rtl/>
        </w:rPr>
        <w:t>الجهة المسؤولة: مسؤول الأمن / إدارة المصنع</w:t>
      </w:r>
    </w:p>
    <w:p w14:paraId="3C496785" w14:textId="3E24CF2F" w:rsidR="00364C14" w:rsidRDefault="00291B05" w:rsidP="00291B05">
      <w:pPr>
        <w:pStyle w:val="ListParagraph"/>
        <w:numPr>
          <w:ilvl w:val="0"/>
          <w:numId w:val="5"/>
        </w:numPr>
        <w:bidi/>
        <w:spacing w:before="240" w:after="100"/>
        <w:rPr>
          <w:rFonts w:ascii="Calibri" w:eastAsia="Arial" w:hAnsi="Calibri" w:cs="Calibri"/>
          <w:b/>
          <w:bCs/>
          <w:color w:val="1F3B57"/>
          <w:sz w:val="32"/>
          <w:szCs w:val="32"/>
        </w:rPr>
      </w:pPr>
      <w:r w:rsidRPr="00291B05">
        <w:rPr>
          <w:rFonts w:ascii="Calibri" w:eastAsia="Arial" w:hAnsi="Calibri" w:cs="Calibri"/>
          <w:b/>
          <w:bCs/>
          <w:color w:val="1F3B57"/>
          <w:sz w:val="32"/>
          <w:szCs w:val="32"/>
          <w:rtl/>
        </w:rPr>
        <w:t xml:space="preserve">المواد الخطرة  </w:t>
      </w:r>
    </w:p>
    <w:p w14:paraId="1D28AD8A"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b/>
          <w:bCs/>
          <w:color w:val="1F3B57"/>
          <w:sz w:val="28"/>
          <w:szCs w:val="28"/>
          <w:rtl/>
        </w:rPr>
        <w:t>الهدف</w:t>
      </w:r>
    </w:p>
    <w:p w14:paraId="3C9650F0"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sz w:val="28"/>
          <w:szCs w:val="28"/>
          <w:rtl/>
        </w:rPr>
        <w:t>ضمان التداول والتخزين الآمن والاستجابة الفعالة في حالات الطوارئ للكيماويات والأصباغ والوقود وغيرها من المواد الخطرة المستخدمة بالمصنع.</w:t>
      </w:r>
    </w:p>
    <w:p w14:paraId="6DABDDCD"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b/>
          <w:bCs/>
          <w:color w:val="1F3B57"/>
          <w:sz w:val="28"/>
          <w:szCs w:val="28"/>
          <w:rtl/>
        </w:rPr>
        <w:t>إجراءات وقائية</w:t>
      </w:r>
    </w:p>
    <w:p w14:paraId="756900C6"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توفير وحفظ نشرات بيانات السلامة (SDS) لجميع الكيماويات الموجودة بالموقع.</w:t>
      </w:r>
    </w:p>
    <w:p w14:paraId="584F9D25"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وضع بطاقات تعريف واضحة وتخزين منفصل للمواد غير المتوافقة كيميائيًا.</w:t>
      </w:r>
    </w:p>
    <w:p w14:paraId="014C7FF8"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توفير معدات الحماية الشخصية (PPE) وإلزامية استخدامها أثناء التداول.</w:t>
      </w:r>
    </w:p>
    <w:p w14:paraId="6ED5F34E"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lastRenderedPageBreak/>
        <w:t>•  توفير عدد مواجهة الانسكابات بالقرب من نقاط التخزين والاستخدام.</w:t>
      </w:r>
    </w:p>
    <w:p w14:paraId="20E3E99B"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تدريب العاملين على التداول الآمن والتخزين ومكان نشرات السلامة.</w:t>
      </w:r>
    </w:p>
    <w:p w14:paraId="62859E79"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b/>
          <w:bCs/>
          <w:color w:val="1F3B57"/>
          <w:sz w:val="28"/>
          <w:szCs w:val="28"/>
          <w:rtl/>
        </w:rPr>
        <w:t>إجراءات الاستجابة</w:t>
      </w:r>
    </w:p>
    <w:p w14:paraId="3B1D6684"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1. عزل منطقة الانسكاب واستخدام عدة مواجهة الانسكابات لاحتواء المادة وتنظيفها.</w:t>
      </w:r>
    </w:p>
    <w:p w14:paraId="71F2B8A2"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2. إخلاء المنطقة في حال وجود خطر أبخرة سامة أو حريق.</w:t>
      </w:r>
    </w:p>
    <w:p w14:paraId="07A20129"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3. إخطار مسؤول السلامة والبيئة والجهة البيئية المختصة إذا اقتضى الأمر.</w:t>
      </w:r>
    </w:p>
    <w:p w14:paraId="6D13415B"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4. تقديم الإسعافات الأولية أو الرعاية الطبية لأي شخص متأثر.</w:t>
      </w:r>
    </w:p>
    <w:p w14:paraId="16BF3A7F"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5. توثيق الحادث والتخلص من المخلفات وفقًا للوائح المعمول بها.</w:t>
      </w:r>
    </w:p>
    <w:p w14:paraId="6D6CA98C" w14:textId="4133C61F" w:rsidR="00291B05" w:rsidRDefault="00291B05" w:rsidP="00291B05">
      <w:pPr>
        <w:bidi/>
        <w:spacing w:before="240" w:after="100"/>
        <w:rPr>
          <w:rFonts w:ascii="Calibri" w:eastAsia="Arial" w:hAnsi="Calibri" w:cs="Calibri"/>
          <w:b/>
          <w:bCs/>
          <w:color w:val="1F3B57"/>
          <w:sz w:val="28"/>
          <w:szCs w:val="28"/>
        </w:rPr>
      </w:pPr>
      <w:r w:rsidRPr="00291B05">
        <w:rPr>
          <w:rFonts w:ascii="Calibri" w:eastAsia="Arial" w:hAnsi="Calibri" w:cs="Calibri"/>
          <w:b/>
          <w:bCs/>
          <w:color w:val="1F3B57"/>
          <w:sz w:val="28"/>
          <w:szCs w:val="28"/>
          <w:rtl/>
        </w:rPr>
        <w:t>الجهة المسؤولة: مسؤول البيئة والصحة والسلامة المهنية</w:t>
      </w:r>
    </w:p>
    <w:p w14:paraId="77CD4A5C" w14:textId="3CC396DD" w:rsidR="00291B05" w:rsidRPr="00291B05" w:rsidRDefault="00291B05" w:rsidP="00291B05">
      <w:pPr>
        <w:pStyle w:val="ListParagraph"/>
        <w:numPr>
          <w:ilvl w:val="0"/>
          <w:numId w:val="5"/>
        </w:numPr>
        <w:bidi/>
        <w:spacing w:before="240" w:after="100"/>
        <w:rPr>
          <w:rFonts w:ascii="Calibri" w:eastAsia="Arial" w:hAnsi="Calibri" w:cs="Calibri"/>
          <w:b/>
          <w:bCs/>
          <w:color w:val="1F3B57"/>
          <w:sz w:val="32"/>
          <w:szCs w:val="32"/>
        </w:rPr>
      </w:pPr>
      <w:r w:rsidRPr="00291B05">
        <w:rPr>
          <w:rFonts w:ascii="Calibri" w:eastAsia="Arial" w:hAnsi="Calibri" w:cs="Calibri"/>
          <w:b/>
          <w:bCs/>
          <w:color w:val="1F3B57"/>
          <w:sz w:val="32"/>
          <w:szCs w:val="32"/>
          <w:rtl/>
        </w:rPr>
        <w:t>الاعتداء على الشحنات أو فقدانها</w:t>
      </w:r>
    </w:p>
    <w:p w14:paraId="06F01839"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b/>
          <w:bCs/>
          <w:color w:val="1F3B57"/>
          <w:sz w:val="28"/>
          <w:szCs w:val="28"/>
          <w:rtl/>
        </w:rPr>
        <w:t>الهدف</w:t>
      </w:r>
    </w:p>
    <w:p w14:paraId="43DE0578"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sz w:val="28"/>
          <w:szCs w:val="28"/>
          <w:rtl/>
        </w:rPr>
        <w:t>الحفاظ على سلامة الشحنات من نقطة التحميل وحتى التسليم النهائي بما يتوافق مع المعايير الأمنية الدنيا لبرنامج C-TPAT.</w:t>
      </w:r>
    </w:p>
    <w:p w14:paraId="3784A05D"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b/>
          <w:bCs/>
          <w:color w:val="1F3B57"/>
          <w:sz w:val="28"/>
          <w:szCs w:val="28"/>
          <w:rtl/>
        </w:rPr>
        <w:t>إجراءات وقائية</w:t>
      </w:r>
    </w:p>
    <w:p w14:paraId="7608EC78"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استخدام أختام أمان عالية الجودة (ISO 17712) مع تطبيق إجراء الفحص والتوثيق والتسجيل والإبلاغ عند كل نقطة تسليم.</w:t>
      </w:r>
    </w:p>
    <w:p w14:paraId="4F64ABE2"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إجراء فحص السبع نقاط للحاويات/المقطورات قبل التحميل.</w:t>
      </w:r>
    </w:p>
    <w:p w14:paraId="6422D358"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استخدام تتبع GPS للشحنات عالية القيمة أو الخطورة عند الإمكان.</w:t>
      </w:r>
    </w:p>
    <w:p w14:paraId="2712B36F"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التحقق من هوية السائق وتوثيق سلسلة العهدة لجميع الشحنات.</w:t>
      </w:r>
    </w:p>
    <w:p w14:paraId="137A6259"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الإشراف على عمليات التحميل بمنطقة الشحن مع تغطية كاميرات المراقبة.</w:t>
      </w:r>
    </w:p>
    <w:p w14:paraId="591BAC93"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b/>
          <w:bCs/>
          <w:color w:val="1F3B57"/>
          <w:sz w:val="28"/>
          <w:szCs w:val="28"/>
          <w:rtl/>
        </w:rPr>
        <w:t>إجراءات الاستجابة</w:t>
      </w:r>
    </w:p>
    <w:p w14:paraId="15B85EBE"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xml:space="preserve">•  1. الإبلاغ الفوري لمدير الأمن/اللوجستيات عن أي ختم </w:t>
      </w:r>
      <w:proofErr w:type="gramStart"/>
      <w:r w:rsidRPr="00291B05">
        <w:rPr>
          <w:rFonts w:ascii="Calibri" w:eastAsia="Arial" w:hAnsi="Calibri" w:cs="Calibri"/>
          <w:sz w:val="28"/>
          <w:szCs w:val="28"/>
          <w:rtl/>
        </w:rPr>
        <w:t>مفقود</w:t>
      </w:r>
      <w:proofErr w:type="gramEnd"/>
      <w:r w:rsidRPr="00291B05">
        <w:rPr>
          <w:rFonts w:ascii="Calibri" w:eastAsia="Arial" w:hAnsi="Calibri" w:cs="Calibri"/>
          <w:sz w:val="28"/>
          <w:szCs w:val="28"/>
          <w:rtl/>
        </w:rPr>
        <w:t xml:space="preserve"> أو تالف أو شحنة مسروقة أو مفقودة.</w:t>
      </w:r>
    </w:p>
    <w:p w14:paraId="5D17629B"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2. إخطار العميل ووكيل الشحن ومخلص الجمارك دون تأخير.</w:t>
      </w:r>
    </w:p>
    <w:p w14:paraId="652ECE5D"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3. إبلاغ الشرطة بالحادث والحصول على رقم مرجعي.</w:t>
      </w:r>
    </w:p>
    <w:p w14:paraId="4FAFC1DE"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4. إخطار أخصائي أمن سلسلة التوريد الخاص ببرنامج CTPAT بالنسبة للشحنات المتجهة للولايات المتحدة، عند الاقتضاء.</w:t>
      </w:r>
    </w:p>
    <w:p w14:paraId="24AD33B2"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5. إجراء التحقيق وتطبيق الإجراء التصحيحي وتحديث تقييم المخاطر.</w:t>
      </w:r>
    </w:p>
    <w:p w14:paraId="52EEFAC7" w14:textId="23A50989" w:rsidR="00291B05" w:rsidRDefault="00291B05" w:rsidP="00291B05">
      <w:pPr>
        <w:bidi/>
        <w:spacing w:before="240" w:after="100"/>
        <w:rPr>
          <w:rFonts w:ascii="Calibri" w:eastAsia="Arial" w:hAnsi="Calibri" w:cs="Calibri"/>
          <w:b/>
          <w:bCs/>
          <w:color w:val="1F3B57"/>
          <w:sz w:val="28"/>
          <w:szCs w:val="28"/>
        </w:rPr>
      </w:pPr>
      <w:r w:rsidRPr="00291B05">
        <w:rPr>
          <w:rFonts w:ascii="Calibri" w:eastAsia="Arial" w:hAnsi="Calibri" w:cs="Calibri"/>
          <w:b/>
          <w:bCs/>
          <w:color w:val="1F3B57"/>
          <w:sz w:val="28"/>
          <w:szCs w:val="28"/>
          <w:rtl/>
        </w:rPr>
        <w:t>الجهة المسؤولة: مدير التصدير/اللوجستيات ومدير الأمن</w:t>
      </w:r>
    </w:p>
    <w:p w14:paraId="74E8138C" w14:textId="1D8E7530" w:rsidR="00291B05" w:rsidRDefault="00291B05" w:rsidP="00291B05">
      <w:pPr>
        <w:pStyle w:val="ListParagraph"/>
        <w:numPr>
          <w:ilvl w:val="0"/>
          <w:numId w:val="5"/>
        </w:numPr>
        <w:bidi/>
        <w:spacing w:before="240" w:after="100"/>
        <w:rPr>
          <w:rFonts w:ascii="Calibri" w:eastAsia="Arial" w:hAnsi="Calibri" w:cs="Calibri"/>
          <w:b/>
          <w:bCs/>
          <w:color w:val="1F3B57"/>
          <w:sz w:val="32"/>
          <w:szCs w:val="32"/>
        </w:rPr>
      </w:pPr>
      <w:r w:rsidRPr="00291B05">
        <w:rPr>
          <w:rFonts w:ascii="Calibri" w:eastAsia="Arial" w:hAnsi="Calibri" w:cs="Calibri"/>
          <w:b/>
          <w:bCs/>
          <w:color w:val="1F3B57"/>
          <w:sz w:val="32"/>
          <w:szCs w:val="32"/>
          <w:rtl/>
        </w:rPr>
        <w:lastRenderedPageBreak/>
        <w:t>اختراق الأنظمة الإلكترونية</w:t>
      </w:r>
    </w:p>
    <w:p w14:paraId="55D738EE"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b/>
          <w:bCs/>
          <w:color w:val="1F3B57"/>
          <w:sz w:val="28"/>
          <w:szCs w:val="28"/>
          <w:rtl/>
        </w:rPr>
        <w:t>الهدف</w:t>
      </w:r>
    </w:p>
    <w:p w14:paraId="3CAFE358"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sz w:val="28"/>
          <w:szCs w:val="28"/>
          <w:rtl/>
        </w:rPr>
        <w:t>حماية أنظمة المعلومات وبيانات نظام تخطيط الموارد والسجلات الخاصة بالإنتاج والموارد البشرية والشحنات من الاختراق أو الوصول غير المصرح به.</w:t>
      </w:r>
    </w:p>
    <w:p w14:paraId="42B17B7D"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b/>
          <w:bCs/>
          <w:color w:val="1F3B57"/>
          <w:sz w:val="28"/>
          <w:szCs w:val="28"/>
          <w:rtl/>
        </w:rPr>
        <w:t>إجراءات وقائية</w:t>
      </w:r>
    </w:p>
    <w:p w14:paraId="2DDB400E"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استخدام جدران حماية وبرامج مكافحة فيروسات وتحديث دوري للأنظمة والبرمجيات.</w:t>
      </w:r>
    </w:p>
    <w:p w14:paraId="4F35242A"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ضبط صلاحيات الدخول حسب الدور الوظيفي وتطبيق سياسة كلمات مرور قوية.</w:t>
      </w:r>
    </w:p>
    <w:p w14:paraId="44B9393F"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أخذ نسخ احتياطية دورية للبيانات وتخزينها داخليًا وخارجيًا.</w:t>
      </w:r>
    </w:p>
    <w:p w14:paraId="10D60580"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تدريب العاملين على التوعية بمحاولات التصيّد الإلكتروني والهندسة الاجتماعية.</w:t>
      </w:r>
    </w:p>
    <w:p w14:paraId="7D9DAA48"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مراقبة نشاط الشبكة وتسجيل الأحداث.</w:t>
      </w:r>
    </w:p>
    <w:p w14:paraId="249A817F"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b/>
          <w:bCs/>
          <w:color w:val="1F3B57"/>
          <w:sz w:val="28"/>
          <w:szCs w:val="28"/>
          <w:rtl/>
        </w:rPr>
        <w:t>إجراءات الاستجابة</w:t>
      </w:r>
    </w:p>
    <w:p w14:paraId="5666A9FF"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1. عزل النظام المتأثر فورًا عن طريق فصله عن الشبكة.</w:t>
      </w:r>
    </w:p>
    <w:p w14:paraId="3B9472B4"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2. إخطار مسؤول تكنولوجيا المعلومات والإدارة دون تأخير.</w:t>
      </w:r>
    </w:p>
    <w:p w14:paraId="49013FC7"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3. الاحتفاظ بسجلات النظام والأدلة اللازمة للتحقيق.</w:t>
      </w:r>
    </w:p>
    <w:p w14:paraId="4FF88DB5"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4. تغيير جميع بيانات الدخول التي قد تكون تعرضت للاختراق.</w:t>
      </w:r>
    </w:p>
    <w:p w14:paraId="0D613F7C"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5. استعادة الأنظمة المتأثرة من نسخة احتياطية سليمة وموثوقة.</w:t>
      </w:r>
    </w:p>
    <w:p w14:paraId="66CD2CA5"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6. إخطار العملاء/الشركاء المتأثرين في حال شمل الاختراق بياناتهم، ومراجعة الإجراءات لاحقًا.</w:t>
      </w:r>
    </w:p>
    <w:p w14:paraId="7C24A3C6" w14:textId="6836A369" w:rsidR="00291B05" w:rsidRDefault="00291B05" w:rsidP="00291B05">
      <w:pPr>
        <w:bidi/>
        <w:spacing w:before="240" w:after="100"/>
        <w:rPr>
          <w:rFonts w:ascii="Calibri" w:eastAsia="Arial" w:hAnsi="Calibri" w:cs="Calibri"/>
          <w:b/>
          <w:bCs/>
          <w:color w:val="1F3B57"/>
          <w:sz w:val="28"/>
          <w:szCs w:val="28"/>
        </w:rPr>
      </w:pPr>
      <w:r w:rsidRPr="00291B05">
        <w:rPr>
          <w:rFonts w:ascii="Calibri" w:eastAsia="Arial" w:hAnsi="Calibri" w:cs="Calibri"/>
          <w:b/>
          <w:bCs/>
          <w:color w:val="1F3B57"/>
          <w:sz w:val="28"/>
          <w:szCs w:val="28"/>
          <w:rtl/>
        </w:rPr>
        <w:t>الجهة المسؤولة: مسؤول تكنولوجيا المعلومات / مدير الأنظمة</w:t>
      </w:r>
    </w:p>
    <w:p w14:paraId="77156FD4" w14:textId="7C9F502D" w:rsidR="00291B05" w:rsidRDefault="00291B05" w:rsidP="00291B05">
      <w:pPr>
        <w:pStyle w:val="ListParagraph"/>
        <w:numPr>
          <w:ilvl w:val="0"/>
          <w:numId w:val="5"/>
        </w:numPr>
        <w:bidi/>
        <w:spacing w:before="240" w:after="100"/>
        <w:rPr>
          <w:rFonts w:ascii="Calibri" w:eastAsia="Arial" w:hAnsi="Calibri" w:cs="Calibri"/>
          <w:b/>
          <w:bCs/>
          <w:color w:val="1F3B57"/>
          <w:sz w:val="32"/>
          <w:szCs w:val="32"/>
        </w:rPr>
      </w:pPr>
      <w:r w:rsidRPr="00291B05">
        <w:rPr>
          <w:rFonts w:ascii="Calibri" w:eastAsia="Arial" w:hAnsi="Calibri" w:cs="Calibri"/>
          <w:b/>
          <w:bCs/>
          <w:color w:val="1F3B57"/>
          <w:sz w:val="32"/>
          <w:szCs w:val="32"/>
          <w:rtl/>
        </w:rPr>
        <w:t>الإخلاء والتواصل والاستجابة للطوارئ</w:t>
      </w:r>
    </w:p>
    <w:p w14:paraId="5DF78FB8"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b/>
          <w:bCs/>
          <w:color w:val="1F3B57"/>
          <w:sz w:val="28"/>
          <w:szCs w:val="28"/>
          <w:rtl/>
        </w:rPr>
        <w:t>الهدف</w:t>
      </w:r>
    </w:p>
    <w:p w14:paraId="7D515F9B"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sz w:val="28"/>
          <w:szCs w:val="28"/>
          <w:rtl/>
        </w:rPr>
        <w:t>ضمان إخلاء منظم وتواصل فعّال داخليًا وخارجيًا أثناء أي حالة طوارئ تؤثر على المنشأة.</w:t>
      </w:r>
    </w:p>
    <w:p w14:paraId="35CDAE60" w14:textId="77777777" w:rsidR="00291B05" w:rsidRPr="00291B05" w:rsidRDefault="00291B05" w:rsidP="00291B05">
      <w:pPr>
        <w:bidi/>
        <w:spacing w:after="100"/>
        <w:rPr>
          <w:rFonts w:ascii="Calibri" w:hAnsi="Calibri" w:cs="Calibri"/>
          <w:sz w:val="28"/>
          <w:szCs w:val="28"/>
        </w:rPr>
      </w:pPr>
      <w:r w:rsidRPr="00291B05">
        <w:rPr>
          <w:rFonts w:ascii="Calibri" w:eastAsia="Arial" w:hAnsi="Calibri" w:cs="Calibri"/>
          <w:b/>
          <w:bCs/>
          <w:color w:val="1F3B57"/>
          <w:sz w:val="28"/>
          <w:szCs w:val="28"/>
          <w:rtl/>
        </w:rPr>
        <w:t>إجراءات وقائية</w:t>
      </w:r>
    </w:p>
    <w:p w14:paraId="2EA77676"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وضع خطط الإخلاء ولافتات المخارج الواضحة في كل قسم.</w:t>
      </w:r>
    </w:p>
    <w:p w14:paraId="697861AF"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تحديد نقاط تجمع معلومة وواضحة لجميع العاملين.</w:t>
      </w:r>
    </w:p>
    <w:p w14:paraId="4A486817"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نشر قائمة أرقام الطوارئ في الأماكن الرئيسية وتحديثها دوريًا.</w:t>
      </w:r>
    </w:p>
    <w:p w14:paraId="56CE1B50"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وضع شجرة اتصال محددة من الإدارة إلى رؤساء الأقسام إلى العاملين.</w:t>
      </w:r>
    </w:p>
    <w:p w14:paraId="3BFAA78D"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إجراء تدريبات إخلاء/حريق دورية مع الاحتفاظ بسجلات الحضور.</w:t>
      </w:r>
    </w:p>
    <w:p w14:paraId="16EAA617" w14:textId="77777777" w:rsidR="005F4CF7" w:rsidRDefault="005F4CF7" w:rsidP="00291B05">
      <w:pPr>
        <w:bidi/>
        <w:spacing w:after="100"/>
        <w:rPr>
          <w:rFonts w:ascii="Calibri" w:eastAsia="Arial" w:hAnsi="Calibri" w:cs="Calibri"/>
          <w:b/>
          <w:bCs/>
          <w:color w:val="1F3B57"/>
          <w:sz w:val="28"/>
          <w:szCs w:val="28"/>
        </w:rPr>
      </w:pPr>
    </w:p>
    <w:p w14:paraId="19FA9DBF" w14:textId="78C0C8F7" w:rsidR="00291B05" w:rsidRPr="00291B05" w:rsidRDefault="00291B05" w:rsidP="005F4CF7">
      <w:pPr>
        <w:bidi/>
        <w:spacing w:after="100"/>
        <w:rPr>
          <w:rFonts w:ascii="Calibri" w:hAnsi="Calibri" w:cs="Calibri"/>
          <w:sz w:val="28"/>
          <w:szCs w:val="28"/>
        </w:rPr>
      </w:pPr>
      <w:r w:rsidRPr="00291B05">
        <w:rPr>
          <w:rFonts w:ascii="Calibri" w:eastAsia="Arial" w:hAnsi="Calibri" w:cs="Calibri"/>
          <w:b/>
          <w:bCs/>
          <w:color w:val="1F3B57"/>
          <w:sz w:val="28"/>
          <w:szCs w:val="28"/>
          <w:rtl/>
        </w:rPr>
        <w:lastRenderedPageBreak/>
        <w:t>إجراءات الاستجابة</w:t>
      </w:r>
    </w:p>
    <w:p w14:paraId="3E8273D7"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1. تفعيل جرس الإنذار والتوجه لأقرب مخرج آمن مع عدم استخدام المصاعد.</w:t>
      </w:r>
    </w:p>
    <w:p w14:paraId="2DA2D593"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2. التوجه بهدوء إلى نقطة التجمع المحددة.</w:t>
      </w:r>
    </w:p>
    <w:p w14:paraId="5AE83367"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3. قيام رؤساء الأقسام/مسؤولي الإخلاء بحصر العاملين والإبلاغ عن المفقودين.</w:t>
      </w:r>
    </w:p>
    <w:p w14:paraId="1908EFCE"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4. قيام قائد الحادث (مدير المصنع/الأمن) بالتواصل مع جهات الطوارئ.</w:t>
      </w:r>
    </w:p>
    <w:p w14:paraId="06E46F35"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5. إبلاغ إدارة الشركة، ثم العملاء/المشترين في حال تأثر العمليات.</w:t>
      </w:r>
    </w:p>
    <w:p w14:paraId="048AEEAB" w14:textId="77777777" w:rsidR="00291B05" w:rsidRPr="00291B05" w:rsidRDefault="00291B05" w:rsidP="00291B05">
      <w:pPr>
        <w:bidi/>
        <w:spacing w:after="60"/>
        <w:ind w:right="300"/>
        <w:rPr>
          <w:rFonts w:ascii="Calibri" w:hAnsi="Calibri" w:cs="Calibri"/>
          <w:sz w:val="28"/>
          <w:szCs w:val="28"/>
        </w:rPr>
      </w:pPr>
      <w:r w:rsidRPr="00291B05">
        <w:rPr>
          <w:rFonts w:ascii="Calibri" w:eastAsia="Arial" w:hAnsi="Calibri" w:cs="Calibri"/>
          <w:sz w:val="28"/>
          <w:szCs w:val="28"/>
          <w:rtl/>
        </w:rPr>
        <w:t>•  6. استئناف العمل فقط بعد صدور تصريح رسمي بانتهاء الحالة.</w:t>
      </w:r>
    </w:p>
    <w:p w14:paraId="5FF87F70" w14:textId="60F2C241" w:rsidR="00291B05" w:rsidRDefault="00291B05" w:rsidP="00291B05">
      <w:pPr>
        <w:bidi/>
        <w:spacing w:before="240" w:after="100"/>
        <w:rPr>
          <w:rFonts w:ascii="Calibri" w:eastAsia="Arial" w:hAnsi="Calibri" w:cs="Calibri"/>
          <w:b/>
          <w:bCs/>
          <w:color w:val="1F3B57"/>
          <w:sz w:val="28"/>
          <w:szCs w:val="28"/>
        </w:rPr>
      </w:pPr>
      <w:r w:rsidRPr="00291B05">
        <w:rPr>
          <w:rFonts w:ascii="Calibri" w:eastAsia="Arial" w:hAnsi="Calibri" w:cs="Calibri"/>
          <w:b/>
          <w:bCs/>
          <w:color w:val="1F3B57"/>
          <w:sz w:val="28"/>
          <w:szCs w:val="28"/>
          <w:rtl/>
        </w:rPr>
        <w:t>الجهة المسؤولة: جميع العاملين / فريق الاستجابة للطوارئ / الإدارة</w:t>
      </w:r>
    </w:p>
    <w:p w14:paraId="6DE49AEC" w14:textId="108D77A5" w:rsidR="005F4CF7" w:rsidRDefault="005F4CF7" w:rsidP="005F4CF7">
      <w:pPr>
        <w:pStyle w:val="ListParagraph"/>
        <w:numPr>
          <w:ilvl w:val="0"/>
          <w:numId w:val="5"/>
        </w:numPr>
        <w:bidi/>
        <w:spacing w:before="240" w:after="100"/>
        <w:rPr>
          <w:rFonts w:ascii="Calibri" w:eastAsia="Arial" w:hAnsi="Calibri" w:cs="Calibri"/>
          <w:b/>
          <w:bCs/>
          <w:color w:val="1F3B57"/>
          <w:sz w:val="32"/>
          <w:szCs w:val="32"/>
        </w:rPr>
      </w:pPr>
      <w:r w:rsidRPr="005F4CF7">
        <w:rPr>
          <w:rFonts w:ascii="Calibri" w:eastAsia="Arial" w:hAnsi="Calibri" w:cs="Calibri"/>
          <w:b/>
          <w:bCs/>
          <w:color w:val="1F3B57"/>
          <w:sz w:val="32"/>
          <w:szCs w:val="32"/>
          <w:rtl/>
        </w:rPr>
        <w:t>قائمة أرقام الطوارئ</w:t>
      </w:r>
    </w:p>
    <w:tbl>
      <w:tblPr>
        <w:tblW w:w="8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6"/>
        <w:gridCol w:w="2450"/>
      </w:tblGrid>
      <w:tr w:rsidR="005F4CF7" w:rsidRPr="005F4CF7" w14:paraId="4632E7B7" w14:textId="77777777" w:rsidTr="005F4CF7">
        <w:tblPrEx>
          <w:tblCellMar>
            <w:top w:w="0" w:type="dxa"/>
            <w:bottom w:w="0" w:type="dxa"/>
          </w:tblCellMar>
        </w:tblPrEx>
        <w:trPr>
          <w:jc w:val="center"/>
        </w:trPr>
        <w:tc>
          <w:tcPr>
            <w:tcW w:w="5566" w:type="dxa"/>
            <w:shd w:val="clear" w:color="auto" w:fill="1F3B57"/>
            <w:tcMar>
              <w:top w:w="90" w:type="dxa"/>
              <w:left w:w="140" w:type="dxa"/>
              <w:bottom w:w="90" w:type="dxa"/>
              <w:right w:w="140" w:type="dxa"/>
            </w:tcMar>
          </w:tcPr>
          <w:p w14:paraId="6B903B6E"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color w:val="FFFFFF"/>
                <w:sz w:val="24"/>
                <w:szCs w:val="24"/>
                <w:rtl/>
              </w:rPr>
              <w:t>الجهة / المسؤول</w:t>
            </w:r>
          </w:p>
        </w:tc>
        <w:tc>
          <w:tcPr>
            <w:tcW w:w="2450" w:type="dxa"/>
            <w:shd w:val="clear" w:color="auto" w:fill="1F3B57"/>
            <w:tcMar>
              <w:top w:w="90" w:type="dxa"/>
              <w:left w:w="140" w:type="dxa"/>
              <w:bottom w:w="90" w:type="dxa"/>
              <w:right w:w="140" w:type="dxa"/>
            </w:tcMar>
          </w:tcPr>
          <w:p w14:paraId="1744D1D7"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color w:val="FFFFFF"/>
                <w:sz w:val="24"/>
                <w:szCs w:val="24"/>
                <w:rtl/>
              </w:rPr>
              <w:t>الهاتف</w:t>
            </w:r>
          </w:p>
        </w:tc>
      </w:tr>
      <w:tr w:rsidR="005F4CF7" w:rsidRPr="005F4CF7" w14:paraId="07662779" w14:textId="77777777" w:rsidTr="005F4CF7">
        <w:tblPrEx>
          <w:tblCellMar>
            <w:top w:w="0" w:type="dxa"/>
            <w:bottom w:w="0" w:type="dxa"/>
          </w:tblCellMar>
        </w:tblPrEx>
        <w:trPr>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29F043AE"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الدفاع المدني / الإطفاء</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016128C8"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180</w:t>
            </w:r>
          </w:p>
        </w:tc>
      </w:tr>
      <w:tr w:rsidR="005F4CF7" w:rsidRPr="005F4CF7" w14:paraId="38451A2F" w14:textId="77777777" w:rsidTr="005F4CF7">
        <w:tblPrEx>
          <w:tblCellMar>
            <w:top w:w="0" w:type="dxa"/>
            <w:bottom w:w="0" w:type="dxa"/>
          </w:tblCellMar>
        </w:tblPrEx>
        <w:trPr>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750503E1"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الشرطة</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5C72B98C"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122</w:t>
            </w:r>
          </w:p>
        </w:tc>
      </w:tr>
      <w:tr w:rsidR="005F4CF7" w:rsidRPr="005F4CF7" w14:paraId="173830B5" w14:textId="77777777" w:rsidTr="005F4CF7">
        <w:tblPrEx>
          <w:tblCellMar>
            <w:top w:w="0" w:type="dxa"/>
            <w:bottom w:w="0" w:type="dxa"/>
          </w:tblCellMar>
        </w:tblPrEx>
        <w:trPr>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4E0A4D3F"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الإسعاف</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7C42515C"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123</w:t>
            </w:r>
          </w:p>
        </w:tc>
      </w:tr>
      <w:tr w:rsidR="005F4CF7" w:rsidRPr="005F4CF7" w14:paraId="36468CB5" w14:textId="77777777" w:rsidTr="005F4CF7">
        <w:tblPrEx>
          <w:tblCellMar>
            <w:top w:w="0" w:type="dxa"/>
            <w:bottom w:w="0" w:type="dxa"/>
          </w:tblCellMar>
        </w:tblPrEx>
        <w:trPr>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61B15403"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مكتب أمن المصنع</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6AF0E322"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________</w:t>
            </w:r>
          </w:p>
        </w:tc>
      </w:tr>
      <w:tr w:rsidR="005F4CF7" w:rsidRPr="005F4CF7" w14:paraId="70B17B8E" w14:textId="77777777" w:rsidTr="005F4CF7">
        <w:tblPrEx>
          <w:tblCellMar>
            <w:top w:w="0" w:type="dxa"/>
            <w:bottom w:w="0" w:type="dxa"/>
          </w:tblCellMar>
        </w:tblPrEx>
        <w:trPr>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4B90D13F"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مدير المصنع / الموقع</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0DB84165"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________</w:t>
            </w:r>
          </w:p>
        </w:tc>
      </w:tr>
      <w:tr w:rsidR="005F4CF7" w:rsidRPr="005F4CF7" w14:paraId="0D77E9E5" w14:textId="77777777" w:rsidTr="005F4CF7">
        <w:tblPrEx>
          <w:tblCellMar>
            <w:top w:w="0" w:type="dxa"/>
            <w:bottom w:w="0" w:type="dxa"/>
          </w:tblCellMar>
        </w:tblPrEx>
        <w:trPr>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63DDFBCE"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مسؤول السلامة والبيئة</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56120C8A"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________</w:t>
            </w:r>
          </w:p>
        </w:tc>
      </w:tr>
      <w:tr w:rsidR="005F4CF7" w:rsidRPr="005F4CF7" w14:paraId="5A66F77B" w14:textId="77777777" w:rsidTr="005F4CF7">
        <w:tblPrEx>
          <w:tblCellMar>
            <w:top w:w="0" w:type="dxa"/>
            <w:bottom w:w="0" w:type="dxa"/>
          </w:tblCellMar>
        </w:tblPrEx>
        <w:trPr>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4C54AEE9"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مدير الموارد البشرية</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67C70DBD"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________</w:t>
            </w:r>
          </w:p>
        </w:tc>
      </w:tr>
      <w:tr w:rsidR="005F4CF7" w:rsidRPr="005F4CF7" w14:paraId="3D86E7C4" w14:textId="77777777" w:rsidTr="005F4CF7">
        <w:tblPrEx>
          <w:tblCellMar>
            <w:top w:w="0" w:type="dxa"/>
            <w:bottom w:w="0" w:type="dxa"/>
          </w:tblCellMar>
        </w:tblPrEx>
        <w:trPr>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3B311222"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مسؤول تكنولوجيا المعلومات</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64918422"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________</w:t>
            </w:r>
          </w:p>
        </w:tc>
      </w:tr>
      <w:tr w:rsidR="005F4CF7" w:rsidRPr="005F4CF7" w14:paraId="394B96F7" w14:textId="77777777" w:rsidTr="005F4CF7">
        <w:tblPrEx>
          <w:tblCellMar>
            <w:top w:w="0" w:type="dxa"/>
            <w:bottom w:w="0" w:type="dxa"/>
          </w:tblCellMar>
        </w:tblPrEx>
        <w:trPr>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7B7614C1"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الصيانة / المرافق</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7C07260C"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________</w:t>
            </w:r>
          </w:p>
        </w:tc>
      </w:tr>
      <w:tr w:rsidR="005F4CF7" w:rsidRPr="005F4CF7" w14:paraId="7A0F2091" w14:textId="77777777" w:rsidTr="005F4CF7">
        <w:tblPrEx>
          <w:tblCellMar>
            <w:top w:w="0" w:type="dxa"/>
            <w:bottom w:w="0" w:type="dxa"/>
          </w:tblCellMar>
        </w:tblPrEx>
        <w:trPr>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23EB5E45"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مدير التصدير / اللوجستيات</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178C3D0F"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________</w:t>
            </w:r>
          </w:p>
        </w:tc>
      </w:tr>
      <w:tr w:rsidR="005F4CF7" w:rsidRPr="005F4CF7" w14:paraId="731C5BCC" w14:textId="77777777" w:rsidTr="005F4CF7">
        <w:tblPrEx>
          <w:tblCellMar>
            <w:top w:w="0" w:type="dxa"/>
            <w:bottom w:w="0" w:type="dxa"/>
          </w:tblCellMar>
        </w:tblPrEx>
        <w:trPr>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31615CC1"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أقرب مستشفى</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7F30182C"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________</w:t>
            </w:r>
          </w:p>
        </w:tc>
      </w:tr>
      <w:tr w:rsidR="005F4CF7" w:rsidRPr="005F4CF7" w14:paraId="67B48F9E" w14:textId="77777777" w:rsidTr="005F4CF7">
        <w:tblPrEx>
          <w:tblCellMar>
            <w:top w:w="0" w:type="dxa"/>
            <w:bottom w:w="0" w:type="dxa"/>
          </w:tblCellMar>
        </w:tblPrEx>
        <w:trPr>
          <w:trHeight w:val="23"/>
          <w:jc w:val="center"/>
        </w:trPr>
        <w:tc>
          <w:tcPr>
            <w:tcW w:w="5566"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tcPr>
          <w:p w14:paraId="21FA9F37"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sz w:val="24"/>
                <w:szCs w:val="24"/>
                <w:rtl/>
              </w:rPr>
              <w:t>مسؤول الامتثال CTPAT / GSV</w:t>
            </w:r>
          </w:p>
        </w:tc>
        <w:tc>
          <w:tcPr>
            <w:tcW w:w="2450" w:type="dxa"/>
            <w:tcBorders>
              <w:top w:val="single" w:sz="4" w:space="0" w:color="D9D9D9"/>
              <w:left w:val="single" w:sz="4" w:space="0" w:color="D9D9D9"/>
              <w:bottom w:val="single" w:sz="4" w:space="0" w:color="D9D9D9"/>
              <w:right w:val="single" w:sz="4" w:space="0" w:color="D9D9D9"/>
            </w:tcBorders>
            <w:tcMar>
              <w:top w:w="90" w:type="dxa"/>
              <w:left w:w="140" w:type="dxa"/>
              <w:bottom w:w="90" w:type="dxa"/>
              <w:right w:w="140" w:type="dxa"/>
            </w:tcMar>
            <w:vAlign w:val="center"/>
          </w:tcPr>
          <w:p w14:paraId="26BACF6F" w14:textId="77777777" w:rsidR="005F4CF7" w:rsidRPr="005F4CF7" w:rsidRDefault="005F4CF7" w:rsidP="005F4CF7">
            <w:pPr>
              <w:bidi/>
              <w:jc w:val="center"/>
              <w:rPr>
                <w:rFonts w:ascii="Calibri" w:hAnsi="Calibri" w:cs="Calibri"/>
                <w:sz w:val="24"/>
                <w:szCs w:val="24"/>
              </w:rPr>
            </w:pPr>
            <w:r w:rsidRPr="005F4CF7">
              <w:rPr>
                <w:rFonts w:ascii="Calibri" w:eastAsia="Arial" w:hAnsi="Calibri" w:cs="Calibri"/>
                <w:b/>
                <w:bCs/>
                <w:sz w:val="24"/>
                <w:szCs w:val="24"/>
              </w:rPr>
              <w:t>________</w:t>
            </w:r>
          </w:p>
        </w:tc>
      </w:tr>
    </w:tbl>
    <w:p w14:paraId="5166A4A0" w14:textId="77777777" w:rsidR="005F4CF7" w:rsidRDefault="005F4CF7" w:rsidP="005F4CF7">
      <w:pPr>
        <w:bidi/>
        <w:spacing w:before="240" w:after="100"/>
        <w:rPr>
          <w:rFonts w:ascii="Calibri" w:eastAsia="Arial" w:hAnsi="Calibri" w:cs="Calibri"/>
          <w:b/>
          <w:bCs/>
          <w:color w:val="1F3B57"/>
          <w:sz w:val="32"/>
          <w:szCs w:val="32"/>
        </w:rPr>
      </w:pPr>
    </w:p>
    <w:p w14:paraId="70E03D93" w14:textId="77777777" w:rsidR="005F4CF7" w:rsidRDefault="005F4CF7" w:rsidP="005F4CF7">
      <w:pPr>
        <w:bidi/>
        <w:spacing w:before="240" w:after="100"/>
        <w:rPr>
          <w:rFonts w:ascii="Calibri" w:eastAsia="Arial" w:hAnsi="Calibri" w:cs="Calibri"/>
          <w:b/>
          <w:bCs/>
          <w:color w:val="1F3B57"/>
          <w:sz w:val="32"/>
          <w:szCs w:val="32"/>
        </w:rPr>
      </w:pPr>
    </w:p>
    <w:p w14:paraId="56884417" w14:textId="77777777" w:rsidR="005F4CF7" w:rsidRPr="005F4CF7" w:rsidRDefault="005F4CF7" w:rsidP="005F4CF7">
      <w:pPr>
        <w:bidi/>
        <w:spacing w:before="240" w:after="100"/>
        <w:rPr>
          <w:rFonts w:ascii="Calibri" w:eastAsia="Arial" w:hAnsi="Calibri" w:cs="Calibri"/>
          <w:b/>
          <w:bCs/>
          <w:color w:val="1F3B57"/>
          <w:sz w:val="32"/>
          <w:szCs w:val="32"/>
        </w:rPr>
      </w:pPr>
    </w:p>
    <w:p w14:paraId="63EA84D1" w14:textId="5555A34D" w:rsidR="005F4CF7" w:rsidRDefault="005F4CF7" w:rsidP="005F4CF7">
      <w:pPr>
        <w:pStyle w:val="ListParagraph"/>
        <w:numPr>
          <w:ilvl w:val="0"/>
          <w:numId w:val="5"/>
        </w:numPr>
        <w:bidi/>
        <w:spacing w:before="240" w:after="100"/>
        <w:rPr>
          <w:rFonts w:ascii="Calibri" w:eastAsia="Arial" w:hAnsi="Calibri" w:cs="Calibri"/>
          <w:b/>
          <w:bCs/>
          <w:color w:val="1F3B57"/>
          <w:sz w:val="32"/>
          <w:szCs w:val="32"/>
        </w:rPr>
      </w:pPr>
      <w:r w:rsidRPr="005F4CF7">
        <w:rPr>
          <w:rFonts w:ascii="Calibri" w:eastAsia="Arial" w:hAnsi="Calibri" w:cs="Calibri"/>
          <w:b/>
          <w:bCs/>
          <w:color w:val="1F3B57"/>
          <w:sz w:val="32"/>
          <w:szCs w:val="32"/>
          <w:rtl/>
        </w:rPr>
        <w:lastRenderedPageBreak/>
        <w:t>التدريب والمراجعة والاعتماد</w:t>
      </w:r>
    </w:p>
    <w:p w14:paraId="1E648476" w14:textId="77777777" w:rsidR="005F4CF7" w:rsidRPr="005F4CF7" w:rsidRDefault="005F4CF7" w:rsidP="005F4CF7">
      <w:pPr>
        <w:bidi/>
        <w:spacing w:after="100"/>
        <w:rPr>
          <w:rFonts w:ascii="Calibri" w:hAnsi="Calibri" w:cs="Calibri"/>
          <w:sz w:val="28"/>
          <w:szCs w:val="28"/>
        </w:rPr>
      </w:pPr>
      <w:r w:rsidRPr="005F4CF7">
        <w:rPr>
          <w:rFonts w:ascii="Calibri" w:eastAsia="Arial" w:hAnsi="Calibri" w:cs="Calibri"/>
          <w:b/>
          <w:bCs/>
          <w:color w:val="1F3B57"/>
          <w:sz w:val="28"/>
          <w:szCs w:val="28"/>
          <w:rtl/>
        </w:rPr>
        <w:t>التدريب والتوعية</w:t>
      </w:r>
    </w:p>
    <w:p w14:paraId="113A53E0" w14:textId="77777777" w:rsidR="005F4CF7" w:rsidRPr="005F4CF7" w:rsidRDefault="005F4CF7" w:rsidP="005F4CF7">
      <w:pPr>
        <w:bidi/>
        <w:spacing w:after="60"/>
        <w:ind w:right="300"/>
        <w:rPr>
          <w:rFonts w:ascii="Calibri" w:hAnsi="Calibri" w:cs="Calibri"/>
          <w:sz w:val="28"/>
          <w:szCs w:val="28"/>
        </w:rPr>
      </w:pPr>
      <w:r w:rsidRPr="005F4CF7">
        <w:rPr>
          <w:rFonts w:ascii="Calibri" w:eastAsia="Arial" w:hAnsi="Calibri" w:cs="Calibri"/>
          <w:sz w:val="28"/>
          <w:szCs w:val="28"/>
          <w:rtl/>
        </w:rPr>
        <w:t>•  يتلقى جميع العاملين تدريبًا على التوعية الأمنية عند التعيين وبشكل سنوي بعد ذلك.</w:t>
      </w:r>
    </w:p>
    <w:p w14:paraId="05B06F6A" w14:textId="77777777" w:rsidR="005F4CF7" w:rsidRPr="005F4CF7" w:rsidRDefault="005F4CF7" w:rsidP="005F4CF7">
      <w:pPr>
        <w:bidi/>
        <w:spacing w:after="60"/>
        <w:ind w:right="300"/>
        <w:rPr>
          <w:rFonts w:ascii="Calibri" w:hAnsi="Calibri" w:cs="Calibri"/>
          <w:sz w:val="28"/>
          <w:szCs w:val="28"/>
        </w:rPr>
      </w:pPr>
      <w:r w:rsidRPr="005F4CF7">
        <w:rPr>
          <w:rFonts w:ascii="Calibri" w:eastAsia="Arial" w:hAnsi="Calibri" w:cs="Calibri"/>
          <w:sz w:val="28"/>
          <w:szCs w:val="28"/>
          <w:rtl/>
        </w:rPr>
        <w:t>•  تُجرى تدريبات الإخلاء والحريق مرتين سنويًا على الأقل، مع الاحتفاظ بسجلات الحضور.</w:t>
      </w:r>
    </w:p>
    <w:p w14:paraId="5CAEE5B9" w14:textId="77777777" w:rsidR="005F4CF7" w:rsidRPr="005F4CF7" w:rsidRDefault="005F4CF7" w:rsidP="005F4CF7">
      <w:pPr>
        <w:bidi/>
        <w:spacing w:after="100"/>
        <w:rPr>
          <w:rFonts w:ascii="Calibri" w:hAnsi="Calibri" w:cs="Calibri"/>
          <w:sz w:val="28"/>
          <w:szCs w:val="28"/>
        </w:rPr>
      </w:pPr>
      <w:r w:rsidRPr="005F4CF7">
        <w:rPr>
          <w:rFonts w:ascii="Calibri" w:eastAsia="Arial" w:hAnsi="Calibri" w:cs="Calibri"/>
          <w:b/>
          <w:bCs/>
          <w:color w:val="1F3B57"/>
          <w:sz w:val="28"/>
          <w:szCs w:val="28"/>
          <w:rtl/>
        </w:rPr>
        <w:t>المراجعة والتوزيع</w:t>
      </w:r>
    </w:p>
    <w:p w14:paraId="3CAFD2D8" w14:textId="77777777" w:rsidR="005F4CF7" w:rsidRPr="005F4CF7" w:rsidRDefault="005F4CF7" w:rsidP="005F4CF7">
      <w:pPr>
        <w:bidi/>
        <w:ind w:right="300"/>
        <w:rPr>
          <w:rFonts w:ascii="Calibri" w:hAnsi="Calibri" w:cs="Calibri"/>
          <w:sz w:val="28"/>
          <w:szCs w:val="28"/>
        </w:rPr>
      </w:pPr>
      <w:r w:rsidRPr="005F4CF7">
        <w:rPr>
          <w:rFonts w:ascii="Calibri" w:eastAsia="Arial" w:hAnsi="Calibri" w:cs="Calibri"/>
          <w:sz w:val="28"/>
          <w:szCs w:val="28"/>
          <w:rtl/>
        </w:rPr>
        <w:t>•  تتم مراجعة هذه الخطة سنويًا على الأقل، وبعد أي حادث جسيم أو ملاحظة تدقيق أو تغيير في العمليات.</w:t>
      </w:r>
    </w:p>
    <w:p w14:paraId="29DE7457" w14:textId="71603116" w:rsidR="005F4CF7" w:rsidRPr="005F4CF7" w:rsidRDefault="005F4CF7" w:rsidP="005F4CF7">
      <w:pPr>
        <w:bidi/>
        <w:spacing w:before="240"/>
        <w:rPr>
          <w:rFonts w:ascii="Calibri" w:eastAsia="Arial" w:hAnsi="Calibri" w:cs="Calibri"/>
          <w:b/>
          <w:bCs/>
          <w:color w:val="1F3B57"/>
          <w:sz w:val="28"/>
          <w:szCs w:val="28"/>
        </w:rPr>
      </w:pPr>
      <w:r w:rsidRPr="005F4CF7">
        <w:rPr>
          <w:rFonts w:ascii="Calibri" w:eastAsia="Arial" w:hAnsi="Calibri" w:cs="Calibri"/>
          <w:sz w:val="28"/>
          <w:szCs w:val="28"/>
          <w:rtl/>
        </w:rPr>
        <w:t>•  يتم توزيع نسخ مضبوطة على إدارة الأمن والموارد البشرية والإدارة العليا، والاحتفاظ بنسخة في ملف امتثال CTPAT/GSV.</w:t>
      </w:r>
    </w:p>
    <w:sectPr w:rsidR="005F4CF7" w:rsidRPr="005F4CF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044EF" w14:textId="77777777" w:rsidR="007906A8" w:rsidRDefault="007906A8" w:rsidP="003709E2">
      <w:r>
        <w:separator/>
      </w:r>
    </w:p>
  </w:endnote>
  <w:endnote w:type="continuationSeparator" w:id="0">
    <w:p w14:paraId="531893A1" w14:textId="77777777" w:rsidR="007906A8" w:rsidRDefault="007906A8" w:rsidP="0037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3092" w14:textId="77777777" w:rsidR="005F4CF7" w:rsidRDefault="005F4C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C612" w14:textId="77777777" w:rsidR="005F4CF7" w:rsidRDefault="005F4C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F2631" w14:textId="77777777" w:rsidR="005F4CF7" w:rsidRDefault="005F4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FF25A" w14:textId="77777777" w:rsidR="007906A8" w:rsidRDefault="007906A8" w:rsidP="003709E2">
      <w:r>
        <w:separator/>
      </w:r>
    </w:p>
  </w:footnote>
  <w:footnote w:type="continuationSeparator" w:id="0">
    <w:p w14:paraId="6D0432F5" w14:textId="77777777" w:rsidR="007906A8" w:rsidRDefault="007906A8" w:rsidP="00370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DF16" w14:textId="77777777" w:rsidR="005F4CF7" w:rsidRDefault="005F4C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0" w:type="dxa"/>
      <w:jc w:val="center"/>
      <w:tblBorders>
        <w:top w:val="single" w:sz="4" w:space="0" w:color="70A9E0" w:themeColor="text2" w:themeTint="66"/>
        <w:left w:val="none" w:sz="0" w:space="0" w:color="auto"/>
        <w:bottom w:val="single" w:sz="4" w:space="0" w:color="70A9E0" w:themeColor="text2" w:themeTint="66"/>
        <w:right w:val="single" w:sz="4" w:space="0" w:color="70A9E0" w:themeColor="text2" w:themeTint="66"/>
        <w:insideH w:val="single" w:sz="4" w:space="0" w:color="70A9E0" w:themeColor="text2" w:themeTint="66"/>
        <w:insideV w:val="single" w:sz="4" w:space="0" w:color="70A9E0" w:themeColor="text2" w:themeTint="66"/>
      </w:tblBorders>
      <w:tblLook w:val="04A0" w:firstRow="1" w:lastRow="0" w:firstColumn="1" w:lastColumn="0" w:noHBand="0" w:noVBand="1"/>
    </w:tblPr>
    <w:tblGrid>
      <w:gridCol w:w="3127"/>
      <w:gridCol w:w="4377"/>
      <w:gridCol w:w="1353"/>
      <w:gridCol w:w="1933"/>
    </w:tblGrid>
    <w:tr w:rsidR="003709E2" w14:paraId="259AEFF2" w14:textId="77777777" w:rsidTr="003709E2">
      <w:trPr>
        <w:trHeight w:val="60"/>
        <w:jc w:val="center"/>
      </w:trPr>
      <w:tc>
        <w:tcPr>
          <w:tcW w:w="3127" w:type="dxa"/>
          <w:vMerge w:val="restart"/>
          <w:tcBorders>
            <w:top w:val="double" w:sz="4" w:space="0" w:color="auto"/>
            <w:left w:val="double" w:sz="4" w:space="0" w:color="auto"/>
            <w:right w:val="double" w:sz="4" w:space="0" w:color="auto"/>
          </w:tcBorders>
          <w:vAlign w:val="center"/>
        </w:tcPr>
        <w:p w14:paraId="00DE5B6A" w14:textId="77777777" w:rsidR="003709E2" w:rsidRDefault="003709E2" w:rsidP="003709E2">
          <w:pPr>
            <w:pStyle w:val="Header"/>
            <w:tabs>
              <w:tab w:val="right" w:pos="2302"/>
            </w:tabs>
            <w:jc w:val="center"/>
          </w:pPr>
          <w:r>
            <w:rPr>
              <w:noProof/>
            </w:rPr>
            <w:drawing>
              <wp:inline distT="0" distB="0" distL="0" distR="0" wp14:anchorId="226BAC0D" wp14:editId="6AF90102">
                <wp:extent cx="1608667" cy="659226"/>
                <wp:effectExtent l="0" t="0" r="0" b="7620"/>
                <wp:docPr id="811510527" name="Picture 81151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716" cy="678097"/>
                        </a:xfrm>
                        <a:prstGeom prst="rect">
                          <a:avLst/>
                        </a:prstGeom>
                        <a:noFill/>
                      </pic:spPr>
                    </pic:pic>
                  </a:graphicData>
                </a:graphic>
              </wp:inline>
            </w:drawing>
          </w:r>
        </w:p>
      </w:tc>
      <w:tc>
        <w:tcPr>
          <w:tcW w:w="4377" w:type="dxa"/>
          <w:vMerge w:val="restart"/>
          <w:tcBorders>
            <w:top w:val="double" w:sz="4" w:space="0" w:color="auto"/>
            <w:left w:val="double" w:sz="4" w:space="0" w:color="auto"/>
            <w:right w:val="double" w:sz="4" w:space="0" w:color="auto"/>
          </w:tcBorders>
          <w:shd w:val="clear" w:color="auto" w:fill="D9D9D9" w:themeFill="background1" w:themeFillShade="D9"/>
          <w:vAlign w:val="center"/>
        </w:tcPr>
        <w:p w14:paraId="6D65A4C2" w14:textId="7AE60FEF" w:rsidR="003709E2" w:rsidRPr="003709E2" w:rsidRDefault="001F56DD" w:rsidP="003709E2">
          <w:pPr>
            <w:pStyle w:val="BodyText2"/>
            <w:tabs>
              <w:tab w:val="left" w:pos="360"/>
              <w:tab w:val="left" w:pos="405"/>
              <w:tab w:val="left" w:pos="450"/>
              <w:tab w:val="center" w:pos="1947"/>
            </w:tabs>
            <w:spacing w:line="360" w:lineRule="auto"/>
            <w:rPr>
              <w:rFonts w:ascii="Calibri" w:hAnsi="Calibri" w:cs="Calibri"/>
              <w:b/>
              <w:bCs/>
              <w:color w:val="0A2F41" w:themeColor="accent1" w:themeShade="80"/>
              <w:sz w:val="32"/>
              <w:szCs w:val="32"/>
              <w:lang w:val="en-US" w:bidi="ar-EG"/>
            </w:rPr>
          </w:pPr>
          <w:r w:rsidRPr="001F56DD">
            <w:rPr>
              <w:rFonts w:ascii="Calibri" w:hAnsi="Calibri" w:cs="Calibri"/>
              <w:b/>
              <w:bCs/>
              <w:color w:val="0A2F41" w:themeColor="accent1" w:themeShade="80"/>
              <w:sz w:val="32"/>
              <w:szCs w:val="32"/>
              <w:rtl/>
              <w:lang w:val="en-US" w:bidi="ar-EG"/>
            </w:rPr>
            <w:t>خطة الطوارئ الأمنية</w:t>
          </w:r>
        </w:p>
      </w:tc>
      <w:tc>
        <w:tcPr>
          <w:tcW w:w="1353" w:type="dxa"/>
          <w:tcBorders>
            <w:top w:val="double" w:sz="4" w:space="0" w:color="auto"/>
            <w:left w:val="double" w:sz="4" w:space="0" w:color="auto"/>
            <w:bottom w:val="single" w:sz="2" w:space="0" w:color="FF0000"/>
            <w:right w:val="double" w:sz="4" w:space="0" w:color="auto"/>
          </w:tcBorders>
          <w:vAlign w:val="center"/>
        </w:tcPr>
        <w:p w14:paraId="6F6E899B" w14:textId="77777777" w:rsidR="003709E2" w:rsidRPr="00A81EFF" w:rsidRDefault="003709E2" w:rsidP="003709E2">
          <w:pPr>
            <w:spacing w:before="120"/>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Document</w:t>
          </w:r>
          <w:proofErr w:type="spellEnd"/>
          <w:r w:rsidRPr="00A81EFF">
            <w:rPr>
              <w:rFonts w:cstheme="minorHAnsi"/>
              <w:b/>
              <w:bCs/>
              <w:color w:val="80340D" w:themeColor="accent2" w:themeShade="80"/>
              <w:sz w:val="16"/>
              <w:szCs w:val="16"/>
            </w:rPr>
            <w:t xml:space="preserve"> No:</w:t>
          </w:r>
        </w:p>
      </w:tc>
      <w:tc>
        <w:tcPr>
          <w:tcW w:w="1933" w:type="dxa"/>
          <w:tcBorders>
            <w:top w:val="double" w:sz="4" w:space="0" w:color="auto"/>
            <w:left w:val="double" w:sz="4" w:space="0" w:color="auto"/>
            <w:bottom w:val="single" w:sz="2" w:space="0" w:color="FF0000"/>
            <w:right w:val="double" w:sz="4" w:space="0" w:color="auto"/>
          </w:tcBorders>
          <w:vAlign w:val="center"/>
        </w:tcPr>
        <w:p w14:paraId="7EA1F0AC" w14:textId="6CCDD259" w:rsidR="003709E2" w:rsidRPr="008640EE" w:rsidRDefault="003709E2" w:rsidP="003709E2">
          <w:pPr>
            <w:rPr>
              <w:rFonts w:cstheme="minorHAnsi"/>
              <w:sz w:val="16"/>
              <w:szCs w:val="16"/>
            </w:rPr>
          </w:pPr>
          <w:r>
            <w:rPr>
              <w:rFonts w:cstheme="minorHAnsi"/>
              <w:sz w:val="16"/>
              <w:szCs w:val="16"/>
            </w:rPr>
            <w:t>EMS.SEC.CP.001</w:t>
          </w:r>
        </w:p>
      </w:tc>
    </w:tr>
    <w:tr w:rsidR="003709E2" w14:paraId="694BC7AD" w14:textId="77777777" w:rsidTr="00FA5EDB">
      <w:trPr>
        <w:trHeight w:val="211"/>
        <w:jc w:val="center"/>
      </w:trPr>
      <w:tc>
        <w:tcPr>
          <w:tcW w:w="3127" w:type="dxa"/>
          <w:vMerge/>
          <w:tcBorders>
            <w:left w:val="double" w:sz="4" w:space="0" w:color="auto"/>
            <w:right w:val="double" w:sz="4" w:space="0" w:color="auto"/>
          </w:tcBorders>
          <w:vAlign w:val="center"/>
        </w:tcPr>
        <w:p w14:paraId="43F3DB53"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7D31D2C5"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7B6FC4AD" w14:textId="77777777" w:rsidR="003709E2" w:rsidRPr="00A81EFF" w:rsidRDefault="003709E2" w:rsidP="003709E2">
          <w:pPr>
            <w:ind w:left="709" w:right="-469" w:hanging="709"/>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Approval</w:t>
          </w:r>
          <w:proofErr w:type="spellEnd"/>
          <w:r w:rsidRPr="00A81EFF">
            <w:rPr>
              <w:rFonts w:cstheme="minorHAnsi"/>
              <w:b/>
              <w:bCs/>
              <w:color w:val="80340D" w:themeColor="accent2" w:themeShade="80"/>
              <w:sz w:val="16"/>
              <w:szCs w:val="16"/>
            </w:rPr>
            <w:t xml:space="preserve"> </w:t>
          </w:r>
          <w:proofErr w:type="spellStart"/>
          <w:r w:rsidRPr="00A81EFF">
            <w:rPr>
              <w:rFonts w:cstheme="minorHAnsi"/>
              <w:b/>
              <w:bCs/>
              <w:color w:val="80340D" w:themeColor="accent2" w:themeShade="80"/>
              <w:sz w:val="16"/>
              <w:szCs w:val="16"/>
            </w:rPr>
            <w:t>Date</w:t>
          </w:r>
          <w:proofErr w:type="spellEnd"/>
          <w:r w:rsidRPr="00A81EFF">
            <w:rPr>
              <w:rFonts w:cstheme="minorHAnsi"/>
              <w:b/>
              <w:bCs/>
              <w:color w:val="80340D" w:themeColor="accent2" w:themeShade="80"/>
              <w:sz w:val="16"/>
              <w:szCs w:val="16"/>
            </w:rPr>
            <w:t>:</w:t>
          </w:r>
        </w:p>
      </w:tc>
      <w:tc>
        <w:tcPr>
          <w:tcW w:w="1933" w:type="dxa"/>
          <w:tcBorders>
            <w:top w:val="single" w:sz="2" w:space="0" w:color="FF0000"/>
            <w:left w:val="double" w:sz="4" w:space="0" w:color="auto"/>
            <w:bottom w:val="single" w:sz="2" w:space="0" w:color="FF0000"/>
            <w:right w:val="double" w:sz="4" w:space="0" w:color="auto"/>
          </w:tcBorders>
          <w:vAlign w:val="center"/>
        </w:tcPr>
        <w:p w14:paraId="09D91D75" w14:textId="77777777" w:rsidR="003709E2" w:rsidRPr="008640EE" w:rsidRDefault="003709E2" w:rsidP="003709E2">
          <w:pPr>
            <w:rPr>
              <w:rFonts w:cstheme="minorHAnsi"/>
              <w:sz w:val="16"/>
              <w:szCs w:val="16"/>
            </w:rPr>
          </w:pPr>
          <w:r>
            <w:rPr>
              <w:rFonts w:cstheme="minorHAnsi"/>
              <w:sz w:val="16"/>
              <w:szCs w:val="16"/>
            </w:rPr>
            <w:t>15.3.2026</w:t>
          </w:r>
        </w:p>
      </w:tc>
    </w:tr>
    <w:tr w:rsidR="003709E2" w14:paraId="49250E02" w14:textId="77777777" w:rsidTr="00FA5EDB">
      <w:trPr>
        <w:trHeight w:val="170"/>
        <w:jc w:val="center"/>
      </w:trPr>
      <w:tc>
        <w:tcPr>
          <w:tcW w:w="3127" w:type="dxa"/>
          <w:vMerge/>
          <w:tcBorders>
            <w:left w:val="double" w:sz="4" w:space="0" w:color="auto"/>
            <w:right w:val="double" w:sz="4" w:space="0" w:color="auto"/>
          </w:tcBorders>
          <w:vAlign w:val="center"/>
        </w:tcPr>
        <w:p w14:paraId="1B381E34"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52EB6903"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2C2873CE" w14:textId="77777777" w:rsidR="003709E2" w:rsidRPr="00A81EFF" w:rsidRDefault="003709E2" w:rsidP="003709E2">
          <w:pPr>
            <w:ind w:right="-469"/>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Revision</w:t>
          </w:r>
          <w:proofErr w:type="spellEnd"/>
          <w:r w:rsidRPr="00A81EFF">
            <w:rPr>
              <w:rFonts w:cstheme="minorHAnsi"/>
              <w:b/>
              <w:bCs/>
              <w:color w:val="80340D" w:themeColor="accent2" w:themeShade="80"/>
              <w:sz w:val="16"/>
              <w:szCs w:val="16"/>
            </w:rPr>
            <w:t xml:space="preserve"> No:</w:t>
          </w:r>
        </w:p>
      </w:tc>
      <w:tc>
        <w:tcPr>
          <w:tcW w:w="1933" w:type="dxa"/>
          <w:tcBorders>
            <w:top w:val="single" w:sz="2" w:space="0" w:color="FF0000"/>
            <w:left w:val="double" w:sz="4" w:space="0" w:color="auto"/>
            <w:bottom w:val="single" w:sz="2" w:space="0" w:color="FF0000"/>
            <w:right w:val="double" w:sz="4" w:space="0" w:color="auto"/>
          </w:tcBorders>
          <w:vAlign w:val="center"/>
        </w:tcPr>
        <w:p w14:paraId="26EF65E7" w14:textId="77777777" w:rsidR="003709E2" w:rsidRPr="008640EE" w:rsidRDefault="003709E2" w:rsidP="003709E2">
          <w:pPr>
            <w:rPr>
              <w:rFonts w:cstheme="minorHAnsi"/>
              <w:sz w:val="16"/>
              <w:szCs w:val="16"/>
            </w:rPr>
          </w:pPr>
          <w:r>
            <w:rPr>
              <w:rFonts w:cstheme="minorHAnsi"/>
              <w:sz w:val="16"/>
              <w:szCs w:val="16"/>
            </w:rPr>
            <w:t>R000</w:t>
          </w:r>
        </w:p>
      </w:tc>
    </w:tr>
    <w:tr w:rsidR="003709E2" w14:paraId="5DF1DB01" w14:textId="77777777" w:rsidTr="003709E2">
      <w:trPr>
        <w:trHeight w:val="63"/>
        <w:jc w:val="center"/>
      </w:trPr>
      <w:tc>
        <w:tcPr>
          <w:tcW w:w="3127" w:type="dxa"/>
          <w:vMerge/>
          <w:tcBorders>
            <w:left w:val="double" w:sz="4" w:space="0" w:color="auto"/>
            <w:bottom w:val="double" w:sz="4" w:space="0" w:color="auto"/>
            <w:right w:val="double" w:sz="4" w:space="0" w:color="auto"/>
          </w:tcBorders>
          <w:vAlign w:val="center"/>
        </w:tcPr>
        <w:p w14:paraId="2D973A52" w14:textId="77777777" w:rsidR="003709E2" w:rsidRDefault="003709E2" w:rsidP="003709E2">
          <w:pPr>
            <w:pStyle w:val="Header"/>
            <w:tabs>
              <w:tab w:val="right" w:pos="2302"/>
            </w:tabs>
          </w:pPr>
        </w:p>
      </w:tc>
      <w:tc>
        <w:tcPr>
          <w:tcW w:w="4377" w:type="dxa"/>
          <w:vMerge/>
          <w:tcBorders>
            <w:left w:val="double" w:sz="4" w:space="0" w:color="auto"/>
            <w:bottom w:val="double" w:sz="4" w:space="0" w:color="auto"/>
            <w:right w:val="double" w:sz="4" w:space="0" w:color="auto"/>
          </w:tcBorders>
          <w:shd w:val="clear" w:color="auto" w:fill="D9D9D9" w:themeFill="background1" w:themeFillShade="D9"/>
          <w:vAlign w:val="center"/>
        </w:tcPr>
        <w:p w14:paraId="1DA51C3B"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double" w:sz="4" w:space="0" w:color="auto"/>
            <w:right w:val="double" w:sz="4" w:space="0" w:color="auto"/>
          </w:tcBorders>
          <w:vAlign w:val="center"/>
        </w:tcPr>
        <w:p w14:paraId="6238BF00" w14:textId="77777777" w:rsidR="003709E2" w:rsidRPr="00A81EFF" w:rsidRDefault="003709E2" w:rsidP="003709E2">
          <w:pPr>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Revision</w:t>
          </w:r>
          <w:proofErr w:type="spellEnd"/>
          <w:r w:rsidRPr="00A81EFF">
            <w:rPr>
              <w:rFonts w:cstheme="minorHAnsi"/>
              <w:b/>
              <w:bCs/>
              <w:color w:val="80340D" w:themeColor="accent2" w:themeShade="80"/>
              <w:sz w:val="16"/>
              <w:szCs w:val="16"/>
            </w:rPr>
            <w:t xml:space="preserve"> </w:t>
          </w:r>
          <w:proofErr w:type="spellStart"/>
          <w:r w:rsidRPr="00A81EFF">
            <w:rPr>
              <w:rFonts w:cstheme="minorHAnsi"/>
              <w:b/>
              <w:bCs/>
              <w:color w:val="80340D" w:themeColor="accent2" w:themeShade="80"/>
              <w:sz w:val="16"/>
              <w:szCs w:val="16"/>
            </w:rPr>
            <w:t>Date</w:t>
          </w:r>
          <w:proofErr w:type="spellEnd"/>
          <w:r w:rsidRPr="00A81EFF">
            <w:rPr>
              <w:rFonts w:cstheme="minorHAnsi"/>
              <w:b/>
              <w:bCs/>
              <w:color w:val="80340D" w:themeColor="accent2" w:themeShade="80"/>
              <w:sz w:val="16"/>
              <w:szCs w:val="16"/>
            </w:rPr>
            <w:t>:</w:t>
          </w:r>
        </w:p>
      </w:tc>
      <w:tc>
        <w:tcPr>
          <w:tcW w:w="1933" w:type="dxa"/>
          <w:tcBorders>
            <w:top w:val="single" w:sz="2" w:space="0" w:color="FF0000"/>
            <w:left w:val="double" w:sz="4" w:space="0" w:color="auto"/>
            <w:bottom w:val="double" w:sz="4" w:space="0" w:color="auto"/>
            <w:right w:val="double" w:sz="4" w:space="0" w:color="auto"/>
          </w:tcBorders>
          <w:vAlign w:val="center"/>
        </w:tcPr>
        <w:p w14:paraId="36044C5A" w14:textId="77777777" w:rsidR="003709E2" w:rsidRPr="008640EE" w:rsidRDefault="003709E2" w:rsidP="003709E2">
          <w:pPr>
            <w:rPr>
              <w:rFonts w:cstheme="minorHAnsi"/>
              <w:sz w:val="16"/>
              <w:szCs w:val="16"/>
            </w:rPr>
          </w:pPr>
          <w:r>
            <w:rPr>
              <w:rFonts w:cstheme="minorHAnsi"/>
              <w:sz w:val="16"/>
              <w:szCs w:val="16"/>
            </w:rPr>
            <w:t>00.00.0000</w:t>
          </w:r>
        </w:p>
      </w:tc>
    </w:tr>
  </w:tbl>
  <w:p w14:paraId="345A159A" w14:textId="77777777" w:rsidR="003709E2" w:rsidRDefault="00370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3BDC" w14:textId="77777777" w:rsidR="005F4CF7" w:rsidRDefault="005F4C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422DF"/>
    <w:multiLevelType w:val="hybridMultilevel"/>
    <w:tmpl w:val="C3701808"/>
    <w:lvl w:ilvl="0" w:tplc="2ACE649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4D6011"/>
    <w:multiLevelType w:val="hybridMultilevel"/>
    <w:tmpl w:val="853E068A"/>
    <w:lvl w:ilvl="0" w:tplc="943AF93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0C2D0D"/>
    <w:multiLevelType w:val="hybridMultilevel"/>
    <w:tmpl w:val="BC302904"/>
    <w:lvl w:ilvl="0" w:tplc="943AF93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DD00E6A"/>
    <w:multiLevelType w:val="hybridMultilevel"/>
    <w:tmpl w:val="6EF428EA"/>
    <w:lvl w:ilvl="0" w:tplc="0409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B9A33DC"/>
    <w:multiLevelType w:val="hybridMultilevel"/>
    <w:tmpl w:val="A814A9A0"/>
    <w:lvl w:ilvl="0" w:tplc="2ACE649A">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487786">
    <w:abstractNumId w:val="1"/>
  </w:num>
  <w:num w:numId="2" w16cid:durableId="1029574471">
    <w:abstractNumId w:val="3"/>
  </w:num>
  <w:num w:numId="3" w16cid:durableId="152844730">
    <w:abstractNumId w:val="2"/>
  </w:num>
  <w:num w:numId="4" w16cid:durableId="665398104">
    <w:abstractNumId w:val="0"/>
  </w:num>
  <w:num w:numId="5" w16cid:durableId="20635977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E2"/>
    <w:rsid w:val="001F56DD"/>
    <w:rsid w:val="0021715E"/>
    <w:rsid w:val="00235499"/>
    <w:rsid w:val="00291B05"/>
    <w:rsid w:val="002C4182"/>
    <w:rsid w:val="003014F4"/>
    <w:rsid w:val="003151CC"/>
    <w:rsid w:val="00364C14"/>
    <w:rsid w:val="003709E2"/>
    <w:rsid w:val="005F4CF7"/>
    <w:rsid w:val="006E4338"/>
    <w:rsid w:val="00715EE0"/>
    <w:rsid w:val="007906A8"/>
    <w:rsid w:val="00BB6B6F"/>
    <w:rsid w:val="00C43D80"/>
    <w:rsid w:val="00D3143B"/>
    <w:rsid w:val="00DC16A0"/>
    <w:rsid w:val="00F81D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7D1A1"/>
  <w15:chartTrackingRefBased/>
  <w15:docId w15:val="{83A7E057-C538-4747-8A8A-2E577C60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9E2"/>
    <w:pPr>
      <w:bidi w:val="0"/>
      <w:spacing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70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9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9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9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9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9E2"/>
    <w:rPr>
      <w:rFonts w:eastAsiaTheme="majorEastAsia" w:cstheme="majorBidi"/>
      <w:color w:val="272727" w:themeColor="text1" w:themeTint="D8"/>
    </w:rPr>
  </w:style>
  <w:style w:type="paragraph" w:styleId="Title">
    <w:name w:val="Title"/>
    <w:basedOn w:val="Normal"/>
    <w:next w:val="Normal"/>
    <w:link w:val="TitleChar"/>
    <w:uiPriority w:val="10"/>
    <w:qFormat/>
    <w:rsid w:val="003709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9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9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09E2"/>
    <w:rPr>
      <w:i/>
      <w:iCs/>
      <w:color w:val="404040" w:themeColor="text1" w:themeTint="BF"/>
    </w:rPr>
  </w:style>
  <w:style w:type="paragraph" w:styleId="ListParagraph">
    <w:name w:val="List Paragraph"/>
    <w:basedOn w:val="Normal"/>
    <w:uiPriority w:val="34"/>
    <w:qFormat/>
    <w:rsid w:val="003709E2"/>
    <w:pPr>
      <w:ind w:left="720"/>
      <w:contextualSpacing/>
    </w:pPr>
  </w:style>
  <w:style w:type="character" w:styleId="IntenseEmphasis">
    <w:name w:val="Intense Emphasis"/>
    <w:basedOn w:val="DefaultParagraphFont"/>
    <w:uiPriority w:val="21"/>
    <w:qFormat/>
    <w:rsid w:val="003709E2"/>
    <w:rPr>
      <w:i/>
      <w:iCs/>
      <w:color w:val="0F4761" w:themeColor="accent1" w:themeShade="BF"/>
    </w:rPr>
  </w:style>
  <w:style w:type="paragraph" w:styleId="IntenseQuote">
    <w:name w:val="Intense Quote"/>
    <w:basedOn w:val="Normal"/>
    <w:next w:val="Normal"/>
    <w:link w:val="IntenseQuoteChar"/>
    <w:uiPriority w:val="30"/>
    <w:qFormat/>
    <w:rsid w:val="0037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9E2"/>
    <w:rPr>
      <w:i/>
      <w:iCs/>
      <w:color w:val="0F4761" w:themeColor="accent1" w:themeShade="BF"/>
    </w:rPr>
  </w:style>
  <w:style w:type="character" w:styleId="IntenseReference">
    <w:name w:val="Intense Reference"/>
    <w:basedOn w:val="DefaultParagraphFont"/>
    <w:uiPriority w:val="32"/>
    <w:qFormat/>
    <w:rsid w:val="003709E2"/>
    <w:rPr>
      <w:b/>
      <w:bCs/>
      <w:smallCaps/>
      <w:color w:val="0F4761" w:themeColor="accent1" w:themeShade="BF"/>
      <w:spacing w:val="5"/>
    </w:rPr>
  </w:style>
  <w:style w:type="paragraph" w:styleId="Header">
    <w:name w:val="header"/>
    <w:basedOn w:val="Normal"/>
    <w:link w:val="HeaderChar"/>
    <w:uiPriority w:val="99"/>
    <w:unhideWhenUsed/>
    <w:rsid w:val="003709E2"/>
    <w:pPr>
      <w:tabs>
        <w:tab w:val="center" w:pos="4680"/>
        <w:tab w:val="right" w:pos="9360"/>
      </w:tabs>
    </w:pPr>
  </w:style>
  <w:style w:type="character" w:customStyle="1" w:styleId="HeaderChar">
    <w:name w:val="Header Char"/>
    <w:basedOn w:val="DefaultParagraphFont"/>
    <w:link w:val="Header"/>
    <w:uiPriority w:val="99"/>
    <w:rsid w:val="003709E2"/>
  </w:style>
  <w:style w:type="paragraph" w:styleId="Footer">
    <w:name w:val="footer"/>
    <w:basedOn w:val="Normal"/>
    <w:link w:val="FooterChar"/>
    <w:uiPriority w:val="99"/>
    <w:unhideWhenUsed/>
    <w:rsid w:val="003709E2"/>
    <w:pPr>
      <w:tabs>
        <w:tab w:val="center" w:pos="4680"/>
        <w:tab w:val="right" w:pos="9360"/>
      </w:tabs>
    </w:pPr>
  </w:style>
  <w:style w:type="character" w:customStyle="1" w:styleId="FooterChar">
    <w:name w:val="Footer Char"/>
    <w:basedOn w:val="DefaultParagraphFont"/>
    <w:link w:val="Footer"/>
    <w:uiPriority w:val="99"/>
    <w:rsid w:val="003709E2"/>
  </w:style>
  <w:style w:type="table" w:styleId="TableGrid">
    <w:name w:val="Table Grid"/>
    <w:basedOn w:val="TableNormal"/>
    <w:uiPriority w:val="39"/>
    <w:rsid w:val="003709E2"/>
    <w:pPr>
      <w:bidi w:val="0"/>
      <w:spacing w:line="240" w:lineRule="auto"/>
    </w:pPr>
    <w:rPr>
      <w:kern w:val="0"/>
      <w:sz w:val="22"/>
      <w:szCs w:val="22"/>
      <w:lang w:val="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3709E2"/>
    <w:pPr>
      <w:spacing w:before="120"/>
      <w:jc w:val="center"/>
    </w:pPr>
    <w:rPr>
      <w:rFonts w:ascii="Arial Narrow" w:hAnsi="Arial Narrow"/>
      <w:sz w:val="28"/>
      <w:lang w:val="tr-TR" w:eastAsia="tr-TR"/>
    </w:rPr>
  </w:style>
  <w:style w:type="character" w:customStyle="1" w:styleId="BodyText2Char">
    <w:name w:val="Body Text 2 Char"/>
    <w:basedOn w:val="DefaultParagraphFont"/>
    <w:link w:val="BodyText2"/>
    <w:rsid w:val="003709E2"/>
    <w:rPr>
      <w:rFonts w:ascii="Arial Narrow" w:eastAsia="Times New Roman" w:hAnsi="Arial Narrow" w:cs="Times New Roman"/>
      <w:kern w:val="0"/>
      <w:sz w:val="28"/>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BADR</dc:creator>
  <cp:keywords/>
  <dc:description/>
  <cp:lastModifiedBy>MOHAMED BADR</cp:lastModifiedBy>
  <cp:revision>2</cp:revision>
  <dcterms:created xsi:type="dcterms:W3CDTF">2026-09-08T08:54:00Z</dcterms:created>
  <dcterms:modified xsi:type="dcterms:W3CDTF">2026-09-08T08:54:00Z</dcterms:modified>
</cp:coreProperties>
</file>