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65F8" w14:textId="77777777" w:rsidR="008B4AE5" w:rsidRPr="00764FDD" w:rsidRDefault="00BB0193" w:rsidP="00764FDD">
      <w:pPr>
        <w:pStyle w:val="Heading1"/>
        <w:spacing w:before="0"/>
        <w:rPr>
          <w:rFonts w:cstheme="majorHAnsi"/>
          <w:sz w:val="26"/>
          <w:szCs w:val="26"/>
        </w:rPr>
      </w:pPr>
      <w:r w:rsidRPr="00764FDD">
        <w:rPr>
          <w:rFonts w:cstheme="majorHAnsi"/>
          <w:sz w:val="26"/>
          <w:szCs w:val="26"/>
        </w:rPr>
        <w:t>1. Policy Commitment</w:t>
      </w:r>
    </w:p>
    <w:p w14:paraId="3E88A6D9" w14:textId="77777777" w:rsidR="008B4AE5" w:rsidRPr="00764FDD" w:rsidRDefault="00BB0193" w:rsidP="00764FDD">
      <w:pPr>
        <w:spacing w:after="0"/>
        <w:rPr>
          <w:rFonts w:asciiTheme="majorHAnsi" w:hAnsiTheme="majorHAnsi" w:cstheme="majorHAnsi"/>
          <w:b/>
          <w:bCs/>
          <w:sz w:val="22"/>
        </w:rPr>
      </w:pPr>
      <w:r w:rsidRPr="00764FDD">
        <w:rPr>
          <w:rFonts w:asciiTheme="majorHAnsi" w:hAnsiTheme="majorHAnsi" w:cstheme="majorHAnsi"/>
          <w:b/>
          <w:bCs/>
          <w:sz w:val="22"/>
        </w:rPr>
        <w:t>Eroglu Knitting Co. is committed to maintaining an effective, transparent, accessible, fair and respectful grievance and complaints mechanism for workers, the local community and internal and external stakeholders. The Company recognizes the right of individuals and groups to raise concerns related to its activities and is committed to addressing such concerns without retaliation or adverse treatment.</w:t>
      </w:r>
    </w:p>
    <w:p w14:paraId="1B759ED0" w14:textId="77777777" w:rsidR="008B4AE5" w:rsidRPr="00764FDD" w:rsidRDefault="00BB0193" w:rsidP="00764FDD">
      <w:pPr>
        <w:spacing w:after="0"/>
        <w:rPr>
          <w:rFonts w:asciiTheme="majorHAnsi" w:hAnsiTheme="majorHAnsi" w:cstheme="majorHAnsi"/>
          <w:b/>
          <w:bCs/>
          <w:sz w:val="22"/>
        </w:rPr>
      </w:pPr>
      <w:r w:rsidRPr="00764FDD">
        <w:rPr>
          <w:rFonts w:asciiTheme="majorHAnsi" w:hAnsiTheme="majorHAnsi" w:cstheme="majorHAnsi"/>
          <w:b/>
          <w:bCs/>
          <w:sz w:val="22"/>
        </w:rPr>
        <w:t>The Company will maintain a mechanism that supports timely and impartial consideration of grievances, protection of confidentiality, anonymous reporting where possible, appropriate corrective action, effectiveness verification, appeal and escalation, and continual improvement.</w:t>
      </w:r>
    </w:p>
    <w:p w14:paraId="0A5A4C16" w14:textId="77777777" w:rsidR="008B4AE5" w:rsidRPr="00764FDD" w:rsidRDefault="00BB0193" w:rsidP="00764FDD">
      <w:pPr>
        <w:pStyle w:val="Heading1"/>
        <w:spacing w:before="0"/>
        <w:rPr>
          <w:rFonts w:cstheme="majorHAnsi"/>
          <w:sz w:val="24"/>
          <w:szCs w:val="24"/>
        </w:rPr>
      </w:pPr>
      <w:r w:rsidRPr="00764FDD">
        <w:rPr>
          <w:rFonts w:cstheme="majorHAnsi"/>
          <w:sz w:val="24"/>
          <w:szCs w:val="24"/>
        </w:rPr>
        <w:t xml:space="preserve">2. </w:t>
      </w:r>
      <w:r w:rsidRPr="00764FDD">
        <w:rPr>
          <w:rFonts w:cstheme="majorHAnsi"/>
          <w:sz w:val="26"/>
          <w:szCs w:val="26"/>
        </w:rPr>
        <w:t>Scope</w:t>
      </w:r>
    </w:p>
    <w:p w14:paraId="45259626" w14:textId="77777777" w:rsidR="008B4AE5" w:rsidRPr="00764FDD" w:rsidRDefault="00BB0193" w:rsidP="00764FDD">
      <w:pPr>
        <w:spacing w:after="0"/>
        <w:rPr>
          <w:rFonts w:asciiTheme="majorHAnsi" w:hAnsiTheme="majorHAnsi" w:cstheme="majorHAnsi"/>
          <w:b/>
          <w:bCs/>
          <w:sz w:val="22"/>
        </w:rPr>
      </w:pPr>
      <w:r w:rsidRPr="00764FDD">
        <w:rPr>
          <w:rFonts w:asciiTheme="majorHAnsi" w:hAnsiTheme="majorHAnsi" w:cstheme="majorHAnsi"/>
          <w:b/>
          <w:bCs/>
          <w:sz w:val="22"/>
        </w:rPr>
        <w:t>This Policy applies to all workers, departments, operations and activities of the facility and to grievances raised by permanent, temporary, daily-wage and agency workers; trainees; contractors and service providers; worker representatives or trade unions where applicable; community members and neighbouring parties; customers, suppliers, visitors and other stakeholders; and governmental or regulatory bodies.</w:t>
      </w:r>
    </w:p>
    <w:p w14:paraId="4DFE0572" w14:textId="09BFC9E0" w:rsidR="008B4AE5" w:rsidRDefault="00BB0193" w:rsidP="00764FDD">
      <w:pPr>
        <w:spacing w:after="0"/>
        <w:rPr>
          <w:rFonts w:asciiTheme="majorHAnsi" w:hAnsiTheme="majorHAnsi" w:cstheme="majorHAnsi"/>
          <w:b/>
          <w:bCs/>
          <w:sz w:val="22"/>
          <w:rtl/>
        </w:rPr>
      </w:pPr>
      <w:r w:rsidRPr="00764FDD">
        <w:rPr>
          <w:rFonts w:asciiTheme="majorHAnsi" w:hAnsiTheme="majorHAnsi" w:cstheme="majorHAnsi"/>
          <w:b/>
          <w:bCs/>
          <w:sz w:val="22"/>
        </w:rPr>
        <w:t xml:space="preserve">It covers individual, collective and anonymous grievances concerning labour and employment, harassment and discrimination, health and safety, </w:t>
      </w:r>
      <w:r w:rsidR="00764FDD" w:rsidRPr="00764FDD">
        <w:rPr>
          <w:rFonts w:asciiTheme="majorHAnsi" w:hAnsiTheme="majorHAnsi" w:cstheme="majorHAnsi"/>
          <w:b/>
          <w:bCs/>
          <w:sz w:val="22"/>
        </w:rPr>
        <w:t>chemical</w:t>
      </w:r>
      <w:r w:rsidRPr="00764FDD">
        <w:rPr>
          <w:rFonts w:asciiTheme="majorHAnsi" w:hAnsiTheme="majorHAnsi" w:cstheme="majorHAnsi"/>
          <w:b/>
          <w:bCs/>
          <w:sz w:val="22"/>
        </w:rPr>
        <w:t xml:space="preserve"> and environmental matters, community impacts, ethics and conduct, and other legitimate matters connected with the Company's activities.</w:t>
      </w:r>
    </w:p>
    <w:p w14:paraId="5EE21463" w14:textId="77777777" w:rsidR="00764FDD" w:rsidRPr="00764FDD" w:rsidRDefault="00764FDD" w:rsidP="00764FDD">
      <w:pPr>
        <w:spacing w:after="0"/>
        <w:rPr>
          <w:rFonts w:asciiTheme="majorHAnsi" w:hAnsiTheme="majorHAnsi" w:cstheme="majorHAnsi"/>
          <w:b/>
          <w:bCs/>
          <w:sz w:val="22"/>
        </w:rPr>
      </w:pPr>
    </w:p>
    <w:p w14:paraId="2523D7DC" w14:textId="77777777" w:rsidR="008B4AE5" w:rsidRPr="00764FDD" w:rsidRDefault="00BB0193" w:rsidP="00764FDD">
      <w:pPr>
        <w:pStyle w:val="Heading1"/>
        <w:spacing w:before="0"/>
        <w:rPr>
          <w:rFonts w:cstheme="majorHAnsi"/>
          <w:sz w:val="26"/>
          <w:szCs w:val="26"/>
        </w:rPr>
      </w:pPr>
      <w:r w:rsidRPr="00764FDD">
        <w:rPr>
          <w:rFonts w:cstheme="majorHAnsi"/>
          <w:sz w:val="26"/>
          <w:szCs w:val="26"/>
        </w:rPr>
        <w:t>3. Policy Principles</w:t>
      </w:r>
    </w:p>
    <w:p w14:paraId="6B1CC68C" w14:textId="77777777" w:rsidR="008B4AE5" w:rsidRPr="00764FDD" w:rsidRDefault="00BB0193" w:rsidP="00764FDD">
      <w:pPr>
        <w:pStyle w:val="ListBullet"/>
        <w:spacing w:after="0"/>
        <w:rPr>
          <w:rFonts w:asciiTheme="majorHAnsi" w:hAnsiTheme="majorHAnsi" w:cstheme="majorHAnsi"/>
          <w:b/>
          <w:bCs/>
          <w:sz w:val="22"/>
        </w:rPr>
      </w:pPr>
      <w:r w:rsidRPr="00764FDD">
        <w:rPr>
          <w:rFonts w:asciiTheme="majorHAnsi" w:hAnsiTheme="majorHAnsi" w:cstheme="majorHAnsi"/>
          <w:b/>
          <w:bCs/>
          <w:sz w:val="22"/>
        </w:rPr>
        <w:t>Accessibility — grievance channels shall be understandable, known and reasonably accessible to workers and stakeholders.</w:t>
      </w:r>
    </w:p>
    <w:p w14:paraId="49F9C878" w14:textId="77777777" w:rsidR="008B4AE5" w:rsidRPr="00764FDD" w:rsidRDefault="00BB0193" w:rsidP="00764FDD">
      <w:pPr>
        <w:pStyle w:val="ListBullet"/>
        <w:spacing w:after="0"/>
        <w:rPr>
          <w:rFonts w:asciiTheme="majorHAnsi" w:hAnsiTheme="majorHAnsi" w:cstheme="majorHAnsi"/>
          <w:b/>
          <w:bCs/>
          <w:sz w:val="22"/>
        </w:rPr>
      </w:pPr>
      <w:r w:rsidRPr="00764FDD">
        <w:rPr>
          <w:rFonts w:asciiTheme="majorHAnsi" w:hAnsiTheme="majorHAnsi" w:cstheme="majorHAnsi"/>
          <w:b/>
          <w:bCs/>
          <w:sz w:val="22"/>
        </w:rPr>
        <w:t>Fairness and impartiality — grievances shall be considered objectively and without prejudging the complainant or the subject of the grievance.</w:t>
      </w:r>
    </w:p>
    <w:p w14:paraId="0E8C74BF" w14:textId="77777777" w:rsidR="008B4AE5" w:rsidRPr="00764FDD" w:rsidRDefault="00BB0193" w:rsidP="00764FDD">
      <w:pPr>
        <w:pStyle w:val="ListBullet"/>
        <w:spacing w:after="0"/>
        <w:rPr>
          <w:rFonts w:asciiTheme="majorHAnsi" w:hAnsiTheme="majorHAnsi" w:cstheme="majorHAnsi"/>
          <w:b/>
          <w:bCs/>
          <w:sz w:val="22"/>
        </w:rPr>
      </w:pPr>
      <w:r w:rsidRPr="00764FDD">
        <w:rPr>
          <w:rFonts w:asciiTheme="majorHAnsi" w:hAnsiTheme="majorHAnsi" w:cstheme="majorHAnsi"/>
          <w:b/>
          <w:bCs/>
          <w:sz w:val="22"/>
        </w:rPr>
        <w:t>Confidentiality — personal information and grievance details shall be protected to the maximum extent possible and permitted by law.</w:t>
      </w:r>
    </w:p>
    <w:p w14:paraId="3D676C00" w14:textId="77777777" w:rsidR="008B4AE5" w:rsidRPr="00764FDD" w:rsidRDefault="00BB0193" w:rsidP="00764FDD">
      <w:pPr>
        <w:pStyle w:val="ListBullet"/>
        <w:spacing w:after="0"/>
        <w:rPr>
          <w:rFonts w:asciiTheme="majorHAnsi" w:hAnsiTheme="majorHAnsi" w:cstheme="majorHAnsi"/>
          <w:b/>
          <w:bCs/>
          <w:sz w:val="22"/>
        </w:rPr>
      </w:pPr>
      <w:r w:rsidRPr="00764FDD">
        <w:rPr>
          <w:rFonts w:asciiTheme="majorHAnsi" w:hAnsiTheme="majorHAnsi" w:cstheme="majorHAnsi"/>
          <w:b/>
          <w:bCs/>
          <w:sz w:val="22"/>
        </w:rPr>
        <w:t>Anonymity — anonymous grievances shall be accepted and considered to the extent that available information permits.</w:t>
      </w:r>
    </w:p>
    <w:p w14:paraId="43A700B6" w14:textId="77777777" w:rsidR="008B4AE5" w:rsidRPr="00764FDD" w:rsidRDefault="00BB0193" w:rsidP="00764FDD">
      <w:pPr>
        <w:pStyle w:val="ListBullet"/>
        <w:spacing w:after="0"/>
        <w:rPr>
          <w:rFonts w:asciiTheme="majorHAnsi" w:hAnsiTheme="majorHAnsi" w:cstheme="majorHAnsi"/>
          <w:b/>
          <w:bCs/>
          <w:sz w:val="22"/>
        </w:rPr>
      </w:pPr>
      <w:r w:rsidRPr="00764FDD">
        <w:rPr>
          <w:rFonts w:asciiTheme="majorHAnsi" w:hAnsiTheme="majorHAnsi" w:cstheme="majorHAnsi"/>
          <w:b/>
          <w:bCs/>
          <w:sz w:val="22"/>
        </w:rPr>
        <w:t>Non-retaliation — retaliation, discrimination, threats, pressure, penalties, arbitrary transfer, reduction of benefits or negative treatment arising from a good-faith grievance are prohibited.</w:t>
      </w:r>
    </w:p>
    <w:p w14:paraId="78D30F3E" w14:textId="5472A710" w:rsidR="008B4AE5" w:rsidRPr="00764FDD" w:rsidRDefault="00BB0193" w:rsidP="00764FDD">
      <w:pPr>
        <w:pStyle w:val="ListBullet"/>
        <w:spacing w:after="0"/>
        <w:rPr>
          <w:rFonts w:asciiTheme="majorHAnsi" w:hAnsiTheme="majorHAnsi" w:cstheme="majorHAnsi"/>
          <w:b/>
          <w:bCs/>
          <w:sz w:val="22"/>
        </w:rPr>
      </w:pPr>
      <w:r w:rsidRPr="00764FDD">
        <w:rPr>
          <w:rFonts w:asciiTheme="majorHAnsi" w:hAnsiTheme="majorHAnsi" w:cstheme="majorHAnsi"/>
          <w:b/>
          <w:bCs/>
          <w:sz w:val="22"/>
        </w:rPr>
        <w:t xml:space="preserve">Timeliness </w:t>
      </w:r>
      <w:r w:rsidR="00764FDD" w:rsidRPr="00764FDD">
        <w:rPr>
          <w:rFonts w:asciiTheme="majorHAnsi" w:hAnsiTheme="majorHAnsi" w:cstheme="majorHAnsi"/>
          <w:b/>
          <w:bCs/>
          <w:sz w:val="22"/>
        </w:rPr>
        <w:t>is necessary, the</w:t>
      </w:r>
      <w:r w:rsidRPr="00764FDD">
        <w:rPr>
          <w:rFonts w:asciiTheme="majorHAnsi" w:hAnsiTheme="majorHAnsi" w:cstheme="majorHAnsi"/>
          <w:b/>
          <w:bCs/>
          <w:sz w:val="22"/>
        </w:rPr>
        <w:t xml:space="preserve"> Company shall seek prompt acknowledgement, assessment, resolution and closure appropriate to the nature and complexity of the grievance.</w:t>
      </w:r>
    </w:p>
    <w:p w14:paraId="53FCC884" w14:textId="77777777" w:rsidR="008B4AE5" w:rsidRPr="00764FDD" w:rsidRDefault="00BB0193" w:rsidP="00764FDD">
      <w:pPr>
        <w:pStyle w:val="ListBullet"/>
        <w:spacing w:after="0"/>
        <w:rPr>
          <w:rFonts w:asciiTheme="majorHAnsi" w:hAnsiTheme="majorHAnsi" w:cstheme="majorHAnsi"/>
          <w:b/>
          <w:bCs/>
          <w:sz w:val="22"/>
        </w:rPr>
      </w:pPr>
      <w:r w:rsidRPr="00764FDD">
        <w:rPr>
          <w:rFonts w:asciiTheme="majorHAnsi" w:hAnsiTheme="majorHAnsi" w:cstheme="majorHAnsi"/>
          <w:b/>
          <w:bCs/>
          <w:sz w:val="22"/>
        </w:rPr>
        <w:t>Root-cause and corrective action — substantiated or systemic issues shall be addressed through appropriate corrective and preventive measures and effectiveness verification.</w:t>
      </w:r>
    </w:p>
    <w:p w14:paraId="23A547B2" w14:textId="77777777" w:rsidR="008B4AE5" w:rsidRPr="00764FDD" w:rsidRDefault="00BB0193" w:rsidP="00764FDD">
      <w:pPr>
        <w:pStyle w:val="ListBullet"/>
        <w:spacing w:after="0"/>
        <w:rPr>
          <w:rFonts w:asciiTheme="majorHAnsi" w:hAnsiTheme="majorHAnsi" w:cstheme="majorHAnsi"/>
          <w:b/>
          <w:bCs/>
          <w:sz w:val="22"/>
        </w:rPr>
      </w:pPr>
      <w:r w:rsidRPr="00764FDD">
        <w:rPr>
          <w:rFonts w:asciiTheme="majorHAnsi" w:hAnsiTheme="majorHAnsi" w:cstheme="majorHAnsi"/>
          <w:b/>
          <w:bCs/>
          <w:sz w:val="22"/>
        </w:rPr>
        <w:t>Transparency and communication — complainants shall receive appropriate information regarding outcomes and actions, subject to confidentiality and legal restrictions.</w:t>
      </w:r>
    </w:p>
    <w:p w14:paraId="16BC460B" w14:textId="77777777" w:rsidR="008B4AE5" w:rsidRPr="00764FDD" w:rsidRDefault="00BB0193" w:rsidP="00764FDD">
      <w:pPr>
        <w:pStyle w:val="ListBullet"/>
        <w:spacing w:after="0"/>
        <w:rPr>
          <w:rFonts w:asciiTheme="majorHAnsi" w:hAnsiTheme="majorHAnsi" w:cstheme="majorHAnsi"/>
          <w:b/>
          <w:bCs/>
          <w:sz w:val="22"/>
        </w:rPr>
      </w:pPr>
      <w:r w:rsidRPr="00764FDD">
        <w:rPr>
          <w:rFonts w:asciiTheme="majorHAnsi" w:hAnsiTheme="majorHAnsi" w:cstheme="majorHAnsi"/>
          <w:b/>
          <w:bCs/>
          <w:sz w:val="22"/>
        </w:rPr>
        <w:t>Worker participation — worker representatives and relevant workers shall have an appropriate role in reviewing and improving the grievance mechanism.</w:t>
      </w:r>
    </w:p>
    <w:p w14:paraId="4FD7C752" w14:textId="77777777" w:rsidR="008B4AE5" w:rsidRPr="00764FDD" w:rsidRDefault="00BB0193" w:rsidP="00764FDD">
      <w:pPr>
        <w:pStyle w:val="ListBullet"/>
        <w:spacing w:after="0"/>
        <w:rPr>
          <w:rFonts w:asciiTheme="majorHAnsi" w:hAnsiTheme="majorHAnsi" w:cstheme="majorHAnsi"/>
          <w:b/>
          <w:bCs/>
          <w:sz w:val="22"/>
        </w:rPr>
      </w:pPr>
      <w:r w:rsidRPr="00764FDD">
        <w:rPr>
          <w:rFonts w:asciiTheme="majorHAnsi" w:hAnsiTheme="majorHAnsi" w:cstheme="majorHAnsi"/>
          <w:b/>
          <w:bCs/>
          <w:sz w:val="22"/>
        </w:rPr>
        <w:t>Access to remedy — the internal mechanism shall not restrict any person's right to contact competent governmental, regulatory or judicial bodies.</w:t>
      </w:r>
    </w:p>
    <w:p w14:paraId="24067EE4" w14:textId="77777777" w:rsidR="008B4AE5" w:rsidRPr="00764FDD" w:rsidRDefault="00BB0193">
      <w:pPr>
        <w:pStyle w:val="Heading1"/>
        <w:rPr>
          <w:rFonts w:cstheme="majorHAnsi"/>
          <w:sz w:val="26"/>
          <w:szCs w:val="26"/>
        </w:rPr>
      </w:pPr>
      <w:r w:rsidRPr="00764FDD">
        <w:rPr>
          <w:rFonts w:cstheme="majorHAnsi"/>
          <w:sz w:val="26"/>
          <w:szCs w:val="26"/>
        </w:rPr>
        <w:lastRenderedPageBreak/>
        <w:t>4. Management Commitments</w:t>
      </w:r>
    </w:p>
    <w:p w14:paraId="283EAC19"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Provide adequate resources, authority and competent personnel to maintain the grievance mechanism.</w:t>
      </w:r>
    </w:p>
    <w:p w14:paraId="075D0890"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Maintain suitable internal channels, including accessible worker complaint boxes and appropriate management, HR, EHS and worker-representative channels.</w:t>
      </w:r>
    </w:p>
    <w:p w14:paraId="171E28BF" w14:textId="11E749FC"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 xml:space="preserve">Ensure that complaint boxes are accessible without </w:t>
      </w:r>
      <w:r w:rsidR="00764FDD" w:rsidRPr="00764FDD">
        <w:rPr>
          <w:rFonts w:asciiTheme="majorHAnsi" w:hAnsiTheme="majorHAnsi" w:cstheme="majorHAnsi"/>
          <w:b/>
          <w:bCs/>
          <w:sz w:val="22"/>
        </w:rPr>
        <w:t>supervisor’s</w:t>
      </w:r>
      <w:r w:rsidRPr="00764FDD">
        <w:rPr>
          <w:rFonts w:asciiTheme="majorHAnsi" w:hAnsiTheme="majorHAnsi" w:cstheme="majorHAnsi"/>
          <w:b/>
          <w:bCs/>
          <w:sz w:val="22"/>
        </w:rPr>
        <w:t xml:space="preserve"> permission and that confidentiality and protection against unauthorized access are maintained.</w:t>
      </w:r>
    </w:p>
    <w:p w14:paraId="7B0DF635"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Ensure that workers and stakeholders are informed of available channels, confidentiality, anonymity and non-retaliation rights.</w:t>
      </w:r>
    </w:p>
    <w:p w14:paraId="61AB52C0"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Ensure that grievances are appropriately classified, investigated and addressed, including immediate escalation of critical cases where necessary.</w:t>
      </w:r>
    </w:p>
    <w:p w14:paraId="04928790"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Ensure that conflicts of interest are managed through appropriate independence in review or investigation.</w:t>
      </w:r>
    </w:p>
    <w:p w14:paraId="046763CD"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Provide an appropriate appeal and escalation route and preserve access to external or legal channels.</w:t>
      </w:r>
    </w:p>
    <w:p w14:paraId="0D6C63B3"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Use grievance trends, repeated issues and systemic findings as inputs to corrective action, management review and continual improvement.</w:t>
      </w:r>
    </w:p>
    <w:p w14:paraId="123994A9" w14:textId="77777777" w:rsidR="008B4AE5" w:rsidRPr="00764FDD" w:rsidRDefault="00BB0193">
      <w:pPr>
        <w:pStyle w:val="Heading1"/>
        <w:rPr>
          <w:rFonts w:cstheme="majorHAnsi"/>
          <w:sz w:val="26"/>
          <w:szCs w:val="26"/>
        </w:rPr>
      </w:pPr>
      <w:r w:rsidRPr="00764FDD">
        <w:rPr>
          <w:rFonts w:cstheme="majorHAnsi"/>
          <w:sz w:val="26"/>
          <w:szCs w:val="26"/>
        </w:rPr>
        <w:t>5. Confidentiality, Anonymity and Protection</w:t>
      </w:r>
    </w:p>
    <w:p w14:paraId="4608C793" w14:textId="77777777" w:rsidR="008B4AE5" w:rsidRPr="00764FDD" w:rsidRDefault="00BB0193">
      <w:pPr>
        <w:rPr>
          <w:rFonts w:asciiTheme="majorHAnsi" w:hAnsiTheme="majorHAnsi" w:cstheme="majorHAnsi"/>
          <w:b/>
          <w:bCs/>
          <w:sz w:val="22"/>
        </w:rPr>
      </w:pPr>
      <w:r w:rsidRPr="00764FDD">
        <w:rPr>
          <w:rFonts w:asciiTheme="majorHAnsi" w:hAnsiTheme="majorHAnsi" w:cstheme="majorHAnsi"/>
          <w:b/>
          <w:bCs/>
          <w:sz w:val="22"/>
        </w:rPr>
        <w:t xml:space="preserve">The Company </w:t>
      </w:r>
      <w:proofErr w:type="gramStart"/>
      <w:r w:rsidRPr="00764FDD">
        <w:rPr>
          <w:rFonts w:asciiTheme="majorHAnsi" w:hAnsiTheme="majorHAnsi" w:cstheme="majorHAnsi"/>
          <w:b/>
          <w:bCs/>
          <w:sz w:val="22"/>
        </w:rPr>
        <w:t>shall</w:t>
      </w:r>
      <w:proofErr w:type="gramEnd"/>
      <w:r w:rsidRPr="00764FDD">
        <w:rPr>
          <w:rFonts w:asciiTheme="majorHAnsi" w:hAnsiTheme="majorHAnsi" w:cstheme="majorHAnsi"/>
          <w:b/>
          <w:bCs/>
          <w:sz w:val="22"/>
        </w:rPr>
        <w:t xml:space="preserve"> protect the identity and personal information of complainants to the maximum extent possible and permitted by law. Anonymous complaints are accepted. Information shall be disclosed only to </w:t>
      </w:r>
      <w:proofErr w:type="gramStart"/>
      <w:r w:rsidRPr="00764FDD">
        <w:rPr>
          <w:rFonts w:asciiTheme="majorHAnsi" w:hAnsiTheme="majorHAnsi" w:cstheme="majorHAnsi"/>
          <w:b/>
          <w:bCs/>
          <w:sz w:val="22"/>
        </w:rPr>
        <w:t>persons</w:t>
      </w:r>
      <w:proofErr w:type="gramEnd"/>
      <w:r w:rsidRPr="00764FDD">
        <w:rPr>
          <w:rFonts w:asciiTheme="majorHAnsi" w:hAnsiTheme="majorHAnsi" w:cstheme="majorHAnsi"/>
          <w:b/>
          <w:bCs/>
          <w:sz w:val="22"/>
        </w:rPr>
        <w:t xml:space="preserve"> with a legitimate need to know for the purpose of assessment, investigation, decision-making or corrective action.</w:t>
      </w:r>
    </w:p>
    <w:p w14:paraId="59DD245F" w14:textId="77777777" w:rsidR="008B4AE5" w:rsidRPr="00764FDD" w:rsidRDefault="00BB0193">
      <w:pPr>
        <w:rPr>
          <w:rFonts w:asciiTheme="majorHAnsi" w:hAnsiTheme="majorHAnsi" w:cstheme="majorHAnsi"/>
          <w:b/>
          <w:bCs/>
          <w:sz w:val="22"/>
        </w:rPr>
      </w:pPr>
      <w:r w:rsidRPr="00764FDD">
        <w:rPr>
          <w:rFonts w:asciiTheme="majorHAnsi" w:hAnsiTheme="majorHAnsi" w:cstheme="majorHAnsi"/>
          <w:b/>
          <w:bCs/>
          <w:sz w:val="22"/>
        </w:rPr>
        <w:t>No worker shall be compelled to withdraw a grievance or disclose an identity when the mechanism permits an anonymous submission. Good-faith use of the grievance mechanism shall not result in retaliation or adverse treatment.</w:t>
      </w:r>
    </w:p>
    <w:p w14:paraId="13C945C7" w14:textId="77777777" w:rsidR="008B4AE5" w:rsidRPr="00764FDD" w:rsidRDefault="00BB0193">
      <w:pPr>
        <w:pStyle w:val="Heading1"/>
        <w:rPr>
          <w:rFonts w:cstheme="majorHAnsi"/>
          <w:sz w:val="26"/>
          <w:szCs w:val="26"/>
        </w:rPr>
      </w:pPr>
      <w:r w:rsidRPr="00764FDD">
        <w:rPr>
          <w:rFonts w:cstheme="majorHAnsi"/>
          <w:sz w:val="26"/>
          <w:szCs w:val="26"/>
        </w:rPr>
        <w:t>6. Critical Grievances</w:t>
      </w:r>
    </w:p>
    <w:p w14:paraId="2B86A109" w14:textId="77777777" w:rsidR="008B4AE5" w:rsidRDefault="00BB0193">
      <w:pPr>
        <w:rPr>
          <w:rFonts w:asciiTheme="majorHAnsi" w:hAnsiTheme="majorHAnsi" w:cstheme="majorHAnsi"/>
          <w:b/>
          <w:bCs/>
          <w:sz w:val="22"/>
          <w:rtl/>
        </w:rPr>
      </w:pPr>
      <w:r w:rsidRPr="00764FDD">
        <w:rPr>
          <w:rFonts w:asciiTheme="majorHAnsi" w:hAnsiTheme="majorHAnsi" w:cstheme="majorHAnsi"/>
          <w:b/>
          <w:bCs/>
          <w:sz w:val="22"/>
        </w:rPr>
        <w:t>Cases involving imminent danger to life or safety, serious violence or harassment, suspected child or forced labour, dangerous chemical spills, serious environmental pollution, or other circumstances requiring urgent intervention shall receive immediate management attention and escalation in accordance with applicable emergency, EHS, HR and legal requirements.</w:t>
      </w:r>
    </w:p>
    <w:p w14:paraId="4513461C" w14:textId="77777777" w:rsidR="00764FDD" w:rsidRDefault="00764FDD">
      <w:pPr>
        <w:rPr>
          <w:rFonts w:asciiTheme="majorHAnsi" w:hAnsiTheme="majorHAnsi" w:cstheme="majorHAnsi"/>
          <w:b/>
          <w:bCs/>
          <w:sz w:val="22"/>
          <w:rtl/>
        </w:rPr>
      </w:pPr>
    </w:p>
    <w:p w14:paraId="2B8B5799" w14:textId="77777777" w:rsidR="00764FDD" w:rsidRDefault="00764FDD">
      <w:pPr>
        <w:rPr>
          <w:rFonts w:asciiTheme="majorHAnsi" w:hAnsiTheme="majorHAnsi" w:cstheme="majorHAnsi"/>
          <w:b/>
          <w:bCs/>
          <w:sz w:val="22"/>
          <w:rtl/>
        </w:rPr>
      </w:pPr>
    </w:p>
    <w:p w14:paraId="3A1B7687" w14:textId="77777777" w:rsidR="00764FDD" w:rsidRPr="00764FDD" w:rsidRDefault="00764FDD">
      <w:pPr>
        <w:rPr>
          <w:rFonts w:asciiTheme="majorHAnsi" w:hAnsiTheme="majorHAnsi" w:cstheme="majorHAnsi"/>
          <w:b/>
          <w:bCs/>
          <w:sz w:val="22"/>
        </w:rPr>
      </w:pPr>
    </w:p>
    <w:p w14:paraId="66DCA385" w14:textId="77777777" w:rsidR="008B4AE5" w:rsidRPr="00764FDD" w:rsidRDefault="00BB0193">
      <w:pPr>
        <w:pStyle w:val="Heading1"/>
        <w:rPr>
          <w:rFonts w:cstheme="majorHAnsi"/>
          <w:sz w:val="26"/>
          <w:szCs w:val="26"/>
        </w:rPr>
      </w:pPr>
      <w:r w:rsidRPr="00764FDD">
        <w:rPr>
          <w:rFonts w:cstheme="majorHAnsi"/>
          <w:sz w:val="26"/>
          <w:szCs w:val="26"/>
        </w:rPr>
        <w:lastRenderedPageBreak/>
        <w:t>7. Legal and Management-System Alignment</w:t>
      </w:r>
    </w:p>
    <w:p w14:paraId="397A0992" w14:textId="77777777" w:rsidR="008B4AE5" w:rsidRPr="00764FDD" w:rsidRDefault="00BB0193">
      <w:pPr>
        <w:rPr>
          <w:rFonts w:asciiTheme="majorHAnsi" w:hAnsiTheme="majorHAnsi" w:cstheme="majorHAnsi"/>
          <w:b/>
          <w:bCs/>
          <w:sz w:val="22"/>
        </w:rPr>
      </w:pPr>
      <w:r w:rsidRPr="00764FDD">
        <w:rPr>
          <w:rFonts w:asciiTheme="majorHAnsi" w:hAnsiTheme="majorHAnsi" w:cstheme="majorHAnsi"/>
          <w:b/>
          <w:bCs/>
          <w:sz w:val="22"/>
        </w:rPr>
        <w:t>This Policy is implemented in accordance with the facility's Legal &amp; Compliance Obligations Register and applicable requirements, including:</w:t>
      </w:r>
    </w:p>
    <w:p w14:paraId="19CE013B"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Egyptian Environmental Law No. 4/1994, as amended by Laws No. 9/2009 and 105/2015, and its Executive Regulation.</w:t>
      </w:r>
    </w:p>
    <w:p w14:paraId="0F11EA16"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Law No. 202/2020 on Waste Management.</w:t>
      </w:r>
    </w:p>
    <w:p w14:paraId="3D4E0391"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Egyptian Labour Law No. 14/2025 and applicable provisions concerning forced labour, harassment, bullying, discrimination and individual/collective dispute settlement; this internal mechanism does not replace statutory rights. Law No. 14/2025 repealed Law No. 12/2003.</w:t>
      </w:r>
    </w:p>
    <w:p w14:paraId="74EBA6A4"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Facility Environmental Approval and applicable permits.</w:t>
      </w:r>
    </w:p>
    <w:p w14:paraId="0F64E109"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ISO 14001:2015, including relevant requirements concerning interested parties, communication, management review and continual improvement.</w:t>
      </w:r>
    </w:p>
    <w:p w14:paraId="2C19C8B3"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IFC Performance Standard 1 and IFC General EHS Guidelines.</w:t>
      </w:r>
    </w:p>
    <w:p w14:paraId="743537DE"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Higg FEM and Higg FSLM (Cascale), as applicable.</w:t>
      </w:r>
    </w:p>
    <w:p w14:paraId="38AD2C5F"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WRAP and SLCP CAF, as applicable.</w:t>
      </w:r>
    </w:p>
    <w:p w14:paraId="668C0191"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ZDHC CMS and applicable customer requirements concerning grievances, social and environmental compliance and worker welfare.</w:t>
      </w:r>
    </w:p>
    <w:p w14:paraId="2424F557" w14:textId="77777777" w:rsidR="008B4AE5" w:rsidRPr="00764FDD" w:rsidRDefault="00BB0193">
      <w:pPr>
        <w:pStyle w:val="Heading1"/>
        <w:rPr>
          <w:rFonts w:cstheme="majorHAnsi"/>
          <w:sz w:val="26"/>
          <w:szCs w:val="26"/>
        </w:rPr>
      </w:pPr>
      <w:r w:rsidRPr="00764FDD">
        <w:rPr>
          <w:rFonts w:cstheme="majorHAnsi"/>
          <w:sz w:val="26"/>
          <w:szCs w:val="26"/>
        </w:rPr>
        <w:t>8. Awareness, Training and Worker Engagement</w:t>
      </w:r>
    </w:p>
    <w:p w14:paraId="38E4C008" w14:textId="339CEBE1"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 xml:space="preserve">All workers </w:t>
      </w:r>
      <w:r w:rsidR="00764FDD" w:rsidRPr="00764FDD">
        <w:rPr>
          <w:rFonts w:asciiTheme="majorHAnsi" w:hAnsiTheme="majorHAnsi" w:cstheme="majorHAnsi"/>
          <w:b/>
          <w:bCs/>
          <w:sz w:val="22"/>
        </w:rPr>
        <w:t>should</w:t>
      </w:r>
      <w:r w:rsidRPr="00764FDD">
        <w:rPr>
          <w:rFonts w:asciiTheme="majorHAnsi" w:hAnsiTheme="majorHAnsi" w:cstheme="majorHAnsi"/>
          <w:b/>
          <w:bCs/>
          <w:sz w:val="22"/>
        </w:rPr>
        <w:t xml:space="preserve"> be made aware of the purpose of the mechanism and the channels available to them.</w:t>
      </w:r>
    </w:p>
    <w:p w14:paraId="3AA7B9F0"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Workers shall receive appropriate information on complaint-box use, anonymous submission, confidentiality and non-retaliation.</w:t>
      </w:r>
    </w:p>
    <w:p w14:paraId="4F950D85" w14:textId="157E7B06"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 xml:space="preserve">Grievance Committee members and </w:t>
      </w:r>
      <w:r w:rsidR="00764FDD" w:rsidRPr="00764FDD">
        <w:rPr>
          <w:rFonts w:asciiTheme="majorHAnsi" w:hAnsiTheme="majorHAnsi" w:cstheme="majorHAnsi"/>
          <w:b/>
          <w:bCs/>
          <w:sz w:val="22"/>
        </w:rPr>
        <w:t>personnel responsible</w:t>
      </w:r>
      <w:r w:rsidRPr="00764FDD">
        <w:rPr>
          <w:rFonts w:asciiTheme="majorHAnsi" w:hAnsiTheme="majorHAnsi" w:cstheme="majorHAnsi"/>
          <w:b/>
          <w:bCs/>
          <w:sz w:val="22"/>
        </w:rPr>
        <w:t xml:space="preserve"> shall receive appropriate training </w:t>
      </w:r>
      <w:proofErr w:type="gramStart"/>
      <w:r w:rsidRPr="00764FDD">
        <w:rPr>
          <w:rFonts w:asciiTheme="majorHAnsi" w:hAnsiTheme="majorHAnsi" w:cstheme="majorHAnsi"/>
          <w:b/>
          <w:bCs/>
          <w:sz w:val="22"/>
        </w:rPr>
        <w:t>on</w:t>
      </w:r>
      <w:proofErr w:type="gramEnd"/>
      <w:r w:rsidRPr="00764FDD">
        <w:rPr>
          <w:rFonts w:asciiTheme="majorHAnsi" w:hAnsiTheme="majorHAnsi" w:cstheme="majorHAnsi"/>
          <w:b/>
          <w:bCs/>
          <w:sz w:val="22"/>
        </w:rPr>
        <w:t xml:space="preserve"> grievance management and protection of information.</w:t>
      </w:r>
    </w:p>
    <w:p w14:paraId="24347F49"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Awareness materials shall be provided in language(s) understood by the workforce.</w:t>
      </w:r>
    </w:p>
    <w:p w14:paraId="0D03D071"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Worker understanding of the mechanism shall be evaluated every three months through a dedicated comprehension survey, supported by training, interviews and periodic reviews.</w:t>
      </w:r>
    </w:p>
    <w:p w14:paraId="66602603"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Survey results shall be analysed by Human Resources in coordination with the Environmental Department to identify awareness gaps and guide subsequent training.</w:t>
      </w:r>
    </w:p>
    <w:p w14:paraId="119F2C51" w14:textId="77777777" w:rsidR="008B4AE5"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Worker representatives and relevant workers shall be involved in reviewing the effectiveness and accessibility of the mechanism.</w:t>
      </w:r>
    </w:p>
    <w:p w14:paraId="7B00FA28" w14:textId="77777777" w:rsidR="00764FDD" w:rsidRDefault="00764FDD" w:rsidP="00764FDD">
      <w:pPr>
        <w:pStyle w:val="ListBullet"/>
        <w:numPr>
          <w:ilvl w:val="0"/>
          <w:numId w:val="0"/>
        </w:numPr>
        <w:spacing w:after="40"/>
        <w:ind w:left="360" w:hanging="360"/>
        <w:rPr>
          <w:rFonts w:asciiTheme="majorHAnsi" w:hAnsiTheme="majorHAnsi" w:cstheme="majorHAnsi"/>
          <w:b/>
          <w:bCs/>
          <w:sz w:val="22"/>
          <w:rtl/>
        </w:rPr>
      </w:pPr>
    </w:p>
    <w:p w14:paraId="129E4AB4" w14:textId="77777777" w:rsidR="00764FDD" w:rsidRPr="00764FDD" w:rsidRDefault="00764FDD" w:rsidP="00764FDD">
      <w:pPr>
        <w:pStyle w:val="ListBullet"/>
        <w:numPr>
          <w:ilvl w:val="0"/>
          <w:numId w:val="0"/>
        </w:numPr>
        <w:spacing w:after="40"/>
        <w:ind w:left="360" w:hanging="360"/>
        <w:rPr>
          <w:rFonts w:asciiTheme="majorHAnsi" w:hAnsiTheme="majorHAnsi" w:cstheme="majorHAnsi"/>
          <w:b/>
          <w:bCs/>
          <w:sz w:val="22"/>
        </w:rPr>
      </w:pPr>
    </w:p>
    <w:p w14:paraId="2273D022" w14:textId="77777777" w:rsidR="008B4AE5" w:rsidRPr="00764FDD" w:rsidRDefault="00BB0193">
      <w:pPr>
        <w:pStyle w:val="Heading1"/>
        <w:rPr>
          <w:rFonts w:cstheme="majorHAnsi"/>
          <w:sz w:val="26"/>
          <w:szCs w:val="26"/>
        </w:rPr>
      </w:pPr>
      <w:r w:rsidRPr="00764FDD">
        <w:rPr>
          <w:rFonts w:cstheme="majorHAnsi"/>
          <w:sz w:val="26"/>
          <w:szCs w:val="26"/>
        </w:rPr>
        <w:lastRenderedPageBreak/>
        <w:t>9. Performance, Monitoring and Continual Improvement</w:t>
      </w:r>
    </w:p>
    <w:p w14:paraId="50045E60" w14:textId="77777777" w:rsidR="008B4AE5" w:rsidRPr="00764FDD" w:rsidRDefault="00BB0193">
      <w:pPr>
        <w:rPr>
          <w:rFonts w:asciiTheme="majorHAnsi" w:hAnsiTheme="majorHAnsi" w:cstheme="majorHAnsi"/>
          <w:b/>
          <w:bCs/>
          <w:sz w:val="22"/>
        </w:rPr>
      </w:pPr>
      <w:r w:rsidRPr="00764FDD">
        <w:rPr>
          <w:rFonts w:asciiTheme="majorHAnsi" w:hAnsiTheme="majorHAnsi" w:cstheme="majorHAnsi"/>
          <w:b/>
          <w:bCs/>
          <w:sz w:val="22"/>
        </w:rPr>
        <w:t>The Company shall monitor the effectiveness of the grievance mechanism through appropriate performance indicators, trend analysis, worker awareness, response and closure performance, repeated grievances, appeals and retaliation indicators.</w:t>
      </w:r>
    </w:p>
    <w:tbl>
      <w:tblPr>
        <w:tblStyle w:val="TableGrid"/>
        <w:tblW w:w="0" w:type="auto"/>
        <w:jc w:val="center"/>
        <w:tblLook w:val="04A0" w:firstRow="1" w:lastRow="0" w:firstColumn="1" w:lastColumn="0" w:noHBand="0" w:noVBand="1"/>
      </w:tblPr>
      <w:tblGrid>
        <w:gridCol w:w="5035"/>
        <w:gridCol w:w="5035"/>
      </w:tblGrid>
      <w:tr w:rsidR="008B4AE5" w:rsidRPr="00764FDD" w14:paraId="5DDF4DA2" w14:textId="77777777">
        <w:trPr>
          <w:cantSplit/>
          <w:jc w:val="center"/>
        </w:trPr>
        <w:tc>
          <w:tcPr>
            <w:tcW w:w="5040" w:type="dxa"/>
            <w:shd w:val="clear" w:color="auto" w:fill="1F375C"/>
          </w:tcPr>
          <w:p w14:paraId="52A5614A"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color w:val="FFFFFF"/>
                <w:sz w:val="22"/>
              </w:rPr>
              <w:t>Performance Indicator</w:t>
            </w:r>
          </w:p>
        </w:tc>
        <w:tc>
          <w:tcPr>
            <w:tcW w:w="5040" w:type="dxa"/>
            <w:shd w:val="clear" w:color="auto" w:fill="1F375C"/>
          </w:tcPr>
          <w:p w14:paraId="2D923A9C"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color w:val="FFFFFF"/>
                <w:sz w:val="22"/>
              </w:rPr>
              <w:t>Commitment</w:t>
            </w:r>
          </w:p>
        </w:tc>
      </w:tr>
      <w:tr w:rsidR="008B4AE5" w:rsidRPr="00764FDD" w14:paraId="04C1C534" w14:textId="77777777">
        <w:trPr>
          <w:cantSplit/>
          <w:jc w:val="center"/>
        </w:trPr>
        <w:tc>
          <w:tcPr>
            <w:tcW w:w="5040" w:type="dxa"/>
          </w:tcPr>
          <w:p w14:paraId="5AB22D52"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Timely grievance registration</w:t>
            </w:r>
          </w:p>
        </w:tc>
        <w:tc>
          <w:tcPr>
            <w:tcW w:w="5040" w:type="dxa"/>
          </w:tcPr>
          <w:p w14:paraId="00818B18"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100%</w:t>
            </w:r>
          </w:p>
        </w:tc>
      </w:tr>
      <w:tr w:rsidR="008B4AE5" w:rsidRPr="00764FDD" w14:paraId="20CB4185" w14:textId="77777777">
        <w:trPr>
          <w:cantSplit/>
          <w:jc w:val="center"/>
        </w:trPr>
        <w:tc>
          <w:tcPr>
            <w:tcW w:w="5040" w:type="dxa"/>
          </w:tcPr>
          <w:p w14:paraId="18B71930"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Acknowledgement where contact is available</w:t>
            </w:r>
          </w:p>
        </w:tc>
        <w:tc>
          <w:tcPr>
            <w:tcW w:w="5040" w:type="dxa"/>
          </w:tcPr>
          <w:p w14:paraId="434DF560"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100%</w:t>
            </w:r>
          </w:p>
        </w:tc>
      </w:tr>
      <w:tr w:rsidR="008B4AE5" w:rsidRPr="00764FDD" w14:paraId="5723E8F0" w14:textId="77777777">
        <w:trPr>
          <w:cantSplit/>
          <w:jc w:val="center"/>
        </w:trPr>
        <w:tc>
          <w:tcPr>
            <w:tcW w:w="5040" w:type="dxa"/>
          </w:tcPr>
          <w:p w14:paraId="309D489C"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Investigations completed within target</w:t>
            </w:r>
          </w:p>
        </w:tc>
        <w:tc>
          <w:tcPr>
            <w:tcW w:w="5040" w:type="dxa"/>
          </w:tcPr>
          <w:p w14:paraId="1CF7527B"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 95%</w:t>
            </w:r>
          </w:p>
        </w:tc>
      </w:tr>
      <w:tr w:rsidR="008B4AE5" w:rsidRPr="00764FDD" w14:paraId="1E5A67AF" w14:textId="77777777">
        <w:trPr>
          <w:cantSplit/>
          <w:jc w:val="center"/>
        </w:trPr>
        <w:tc>
          <w:tcPr>
            <w:tcW w:w="5040" w:type="dxa"/>
          </w:tcPr>
          <w:p w14:paraId="17AC1821"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Corrective actions completed on schedule</w:t>
            </w:r>
          </w:p>
        </w:tc>
        <w:tc>
          <w:tcPr>
            <w:tcW w:w="5040" w:type="dxa"/>
          </w:tcPr>
          <w:p w14:paraId="402674C4"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 95%</w:t>
            </w:r>
          </w:p>
        </w:tc>
      </w:tr>
      <w:tr w:rsidR="008B4AE5" w:rsidRPr="00764FDD" w14:paraId="0F07219C" w14:textId="77777777">
        <w:trPr>
          <w:cantSplit/>
          <w:jc w:val="center"/>
        </w:trPr>
        <w:tc>
          <w:tcPr>
            <w:tcW w:w="5040" w:type="dxa"/>
          </w:tcPr>
          <w:p w14:paraId="0D486E4F"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Open grievances &gt;30 days without documented justification</w:t>
            </w:r>
          </w:p>
        </w:tc>
        <w:tc>
          <w:tcPr>
            <w:tcW w:w="5040" w:type="dxa"/>
          </w:tcPr>
          <w:p w14:paraId="2EBC75FC"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Zero</w:t>
            </w:r>
          </w:p>
        </w:tc>
      </w:tr>
      <w:tr w:rsidR="008B4AE5" w:rsidRPr="00764FDD" w14:paraId="6E78A440" w14:textId="77777777">
        <w:trPr>
          <w:cantSplit/>
          <w:jc w:val="center"/>
        </w:trPr>
        <w:tc>
          <w:tcPr>
            <w:tcW w:w="5040" w:type="dxa"/>
          </w:tcPr>
          <w:p w14:paraId="1FA12814"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Retaliation incidents linked to good-faith grievances</w:t>
            </w:r>
          </w:p>
        </w:tc>
        <w:tc>
          <w:tcPr>
            <w:tcW w:w="5040" w:type="dxa"/>
          </w:tcPr>
          <w:p w14:paraId="048B48E8"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Zero</w:t>
            </w:r>
          </w:p>
        </w:tc>
      </w:tr>
      <w:tr w:rsidR="008B4AE5" w:rsidRPr="00764FDD" w14:paraId="4626764C" w14:textId="77777777">
        <w:trPr>
          <w:cantSplit/>
          <w:jc w:val="center"/>
        </w:trPr>
        <w:tc>
          <w:tcPr>
            <w:tcW w:w="5040" w:type="dxa"/>
          </w:tcPr>
          <w:p w14:paraId="25421F64"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Worker awareness verification</w:t>
            </w:r>
          </w:p>
        </w:tc>
        <w:tc>
          <w:tcPr>
            <w:tcW w:w="5040" w:type="dxa"/>
          </w:tcPr>
          <w:p w14:paraId="74BB07C8"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Every 3 months</w:t>
            </w:r>
          </w:p>
        </w:tc>
      </w:tr>
      <w:tr w:rsidR="008B4AE5" w:rsidRPr="00764FDD" w14:paraId="51DDCDFA" w14:textId="77777777">
        <w:trPr>
          <w:cantSplit/>
          <w:jc w:val="center"/>
        </w:trPr>
        <w:tc>
          <w:tcPr>
            <w:tcW w:w="5040" w:type="dxa"/>
          </w:tcPr>
          <w:p w14:paraId="4C951827"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Grievance trend analysis</w:t>
            </w:r>
          </w:p>
        </w:tc>
        <w:tc>
          <w:tcPr>
            <w:tcW w:w="5040" w:type="dxa"/>
          </w:tcPr>
          <w:p w14:paraId="0ECC6225" w14:textId="77777777" w:rsidR="008B4AE5" w:rsidRPr="00764FDD" w:rsidRDefault="00BB0193">
            <w:pPr>
              <w:spacing w:after="0"/>
              <w:rPr>
                <w:rFonts w:asciiTheme="majorHAnsi" w:hAnsiTheme="majorHAnsi" w:cstheme="majorHAnsi"/>
                <w:b/>
                <w:sz w:val="22"/>
              </w:rPr>
            </w:pPr>
            <w:r w:rsidRPr="00764FDD">
              <w:rPr>
                <w:rFonts w:asciiTheme="majorHAnsi" w:hAnsiTheme="majorHAnsi" w:cstheme="majorHAnsi"/>
                <w:b/>
                <w:sz w:val="22"/>
              </w:rPr>
              <w:t>Quarterly</w:t>
            </w:r>
          </w:p>
        </w:tc>
      </w:tr>
    </w:tbl>
    <w:p w14:paraId="4533D3ED" w14:textId="77777777" w:rsidR="008B4AE5" w:rsidRPr="00764FDD" w:rsidRDefault="00BB0193">
      <w:pPr>
        <w:rPr>
          <w:rFonts w:asciiTheme="majorHAnsi" w:hAnsiTheme="majorHAnsi" w:cstheme="majorHAnsi"/>
          <w:b/>
          <w:bCs/>
        </w:rPr>
      </w:pPr>
      <w:r w:rsidRPr="00764FDD">
        <w:rPr>
          <w:rFonts w:asciiTheme="majorHAnsi" w:hAnsiTheme="majorHAnsi" w:cstheme="majorHAnsi"/>
          <w:b/>
          <w:bCs/>
        </w:rPr>
        <w:t>Significant, repeated or systemic grievances shall be escalated to Top Management and considered, as applicable, within corrective action, objectives, management review and continual-improvement processes.</w:t>
      </w:r>
    </w:p>
    <w:p w14:paraId="224367B3" w14:textId="77777777" w:rsidR="008B4AE5" w:rsidRPr="00764FDD" w:rsidRDefault="00BB0193" w:rsidP="00764FDD">
      <w:pPr>
        <w:pStyle w:val="Heading1"/>
        <w:spacing w:before="120"/>
        <w:rPr>
          <w:rFonts w:cstheme="majorHAnsi"/>
        </w:rPr>
      </w:pPr>
      <w:r w:rsidRPr="00764FDD">
        <w:rPr>
          <w:rFonts w:cstheme="majorHAnsi"/>
        </w:rPr>
        <w:t>11. Records and Documented Information</w:t>
      </w:r>
    </w:p>
    <w:p w14:paraId="0EEDFFE5" w14:textId="77777777" w:rsidR="008B4AE5" w:rsidRPr="00764FDD" w:rsidRDefault="00BB0193">
      <w:pPr>
        <w:rPr>
          <w:rFonts w:asciiTheme="majorHAnsi" w:hAnsiTheme="majorHAnsi" w:cstheme="majorHAnsi"/>
        </w:rPr>
      </w:pPr>
      <w:r w:rsidRPr="00764FDD">
        <w:rPr>
          <w:rFonts w:asciiTheme="majorHAnsi" w:hAnsiTheme="majorHAnsi" w:cstheme="majorHAnsi"/>
          <w:b/>
          <w:bCs/>
          <w:sz w:val="22"/>
        </w:rPr>
        <w:t>Documented information supporting this Policy shall be maintained in accordance with the Company's document and record-control requirements and applicable legal/customer retention requirements. Relevant records include grievance registers, complaint-box records, investigation and CAPA records, appeals and closure records, worker consultation and awareness records, relevant environmental monitoring records, training records, worker comprehension surveys and management-review records</w:t>
      </w:r>
      <w:r w:rsidRPr="00764FDD">
        <w:rPr>
          <w:rFonts w:asciiTheme="majorHAnsi" w:hAnsiTheme="majorHAnsi" w:cstheme="majorHAnsi"/>
        </w:rPr>
        <w:t>.</w:t>
      </w:r>
    </w:p>
    <w:p w14:paraId="5B7E9AB4" w14:textId="77777777" w:rsidR="008B4AE5" w:rsidRPr="00764FDD" w:rsidRDefault="00BB0193">
      <w:pPr>
        <w:pStyle w:val="Heading1"/>
        <w:rPr>
          <w:rFonts w:cstheme="majorHAnsi"/>
        </w:rPr>
      </w:pPr>
      <w:r w:rsidRPr="00764FDD">
        <w:rPr>
          <w:rFonts w:cstheme="majorHAnsi"/>
        </w:rPr>
        <w:t>12. Related Controlled Documents</w:t>
      </w:r>
    </w:p>
    <w:p w14:paraId="2301D32B"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EMS.SUS.PR-010 — Grievance and Complaints Mechanism Procedure for Workers, Community and Stakeholders.</w:t>
      </w:r>
    </w:p>
    <w:p w14:paraId="0E02E6DD"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Interested Parties Register.</w:t>
      </w:r>
    </w:p>
    <w:p w14:paraId="205F7378"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Legal &amp; Compliance Obligations Register.</w:t>
      </w:r>
    </w:p>
    <w:p w14:paraId="08DD8B81"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Corrective and Preventive Action (CAPA) Procedure.</w:t>
      </w:r>
    </w:p>
    <w:p w14:paraId="363D7D3A"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Environmental Incident Reporting Procedure.</w:t>
      </w:r>
    </w:p>
    <w:p w14:paraId="6FF9D7BC"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Emergency Preparedness and Response Procedure.</w:t>
      </w:r>
    </w:p>
    <w:p w14:paraId="5ED633F1"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Chemical Management Procedure.</w:t>
      </w:r>
    </w:p>
    <w:p w14:paraId="5A938D13" w14:textId="77777777" w:rsidR="008B4AE5" w:rsidRPr="00764FDD" w:rsidRDefault="00BB0193">
      <w:pPr>
        <w:pStyle w:val="ListBullet"/>
        <w:spacing w:after="40"/>
        <w:rPr>
          <w:rFonts w:asciiTheme="majorHAnsi" w:hAnsiTheme="majorHAnsi" w:cstheme="majorHAnsi"/>
          <w:b/>
          <w:bCs/>
          <w:sz w:val="22"/>
        </w:rPr>
      </w:pPr>
      <w:r w:rsidRPr="00764FDD">
        <w:rPr>
          <w:rFonts w:asciiTheme="majorHAnsi" w:hAnsiTheme="majorHAnsi" w:cstheme="majorHAnsi"/>
          <w:b/>
          <w:bCs/>
          <w:sz w:val="22"/>
        </w:rPr>
        <w:t>Applicable HR and Worker-Welfare Procedures.</w:t>
      </w:r>
    </w:p>
    <w:p w14:paraId="6997FAA6" w14:textId="49FD5538" w:rsidR="008B4AE5" w:rsidRPr="00764FDD" w:rsidRDefault="00BB0193" w:rsidP="00764FDD">
      <w:pPr>
        <w:pStyle w:val="Heading1"/>
        <w:spacing w:before="120"/>
        <w:rPr>
          <w:rFonts w:cstheme="majorHAnsi"/>
        </w:rPr>
      </w:pPr>
      <w:r w:rsidRPr="00764FDD">
        <w:rPr>
          <w:rFonts w:cstheme="majorHAnsi"/>
        </w:rPr>
        <w:t>Approval</w:t>
      </w:r>
    </w:p>
    <w:p w14:paraId="6505BD8E" w14:textId="77777777" w:rsidR="00BB0193" w:rsidRPr="00764FDD" w:rsidRDefault="00BB0193">
      <w:pPr>
        <w:rPr>
          <w:rFonts w:asciiTheme="majorHAnsi" w:hAnsiTheme="majorHAnsi" w:cstheme="majorHAnsi"/>
        </w:rPr>
      </w:pPr>
    </w:p>
    <w:sectPr w:rsidR="00BB0193" w:rsidRPr="00764FDD"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AF104" w14:textId="77777777" w:rsidR="00A228D3" w:rsidRDefault="00A228D3">
      <w:pPr>
        <w:spacing w:after="0" w:line="240" w:lineRule="auto"/>
      </w:pPr>
      <w:r>
        <w:separator/>
      </w:r>
    </w:p>
  </w:endnote>
  <w:endnote w:type="continuationSeparator" w:id="0">
    <w:p w14:paraId="1D3A653A" w14:textId="77777777" w:rsidR="00A228D3" w:rsidRDefault="00A22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122B" w14:textId="77777777" w:rsidR="00EF43DF" w:rsidRDefault="00EF4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5300D" w14:textId="2E2DAAEA" w:rsidR="008B4AE5" w:rsidRDefault="008B4AE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7689" w14:textId="77777777" w:rsidR="00EF43DF" w:rsidRDefault="00EF4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8A774" w14:textId="77777777" w:rsidR="00A228D3" w:rsidRDefault="00A228D3">
      <w:pPr>
        <w:spacing w:after="0" w:line="240" w:lineRule="auto"/>
      </w:pPr>
      <w:r>
        <w:separator/>
      </w:r>
    </w:p>
  </w:footnote>
  <w:footnote w:type="continuationSeparator" w:id="0">
    <w:p w14:paraId="6341B253" w14:textId="77777777" w:rsidR="00A228D3" w:rsidRDefault="00A22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FF16" w14:textId="77777777" w:rsidR="00EF43DF" w:rsidRDefault="00EF43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4" w:type="dxa"/>
      <w:jc w:val="center"/>
      <w:tblBorders>
        <w:top w:val="single" w:sz="4" w:space="0" w:color="8DB3E2" w:themeColor="text2" w:themeTint="66"/>
        <w:left w:val="none" w:sz="0" w:space="0" w:color="auto"/>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ook w:val="04A0" w:firstRow="1" w:lastRow="0" w:firstColumn="1" w:lastColumn="0" w:noHBand="0" w:noVBand="1"/>
    </w:tblPr>
    <w:tblGrid>
      <w:gridCol w:w="3182"/>
      <w:gridCol w:w="4431"/>
      <w:gridCol w:w="1308"/>
      <w:gridCol w:w="1613"/>
    </w:tblGrid>
    <w:tr w:rsidR="00764FDD" w14:paraId="74794233" w14:textId="77777777" w:rsidTr="00BF67C2">
      <w:trPr>
        <w:trHeight w:val="270"/>
        <w:jc w:val="center"/>
      </w:trPr>
      <w:tc>
        <w:tcPr>
          <w:tcW w:w="3189" w:type="dxa"/>
          <w:vMerge w:val="restart"/>
          <w:tcBorders>
            <w:top w:val="thinThickSmallGap" w:sz="24" w:space="0" w:color="auto"/>
            <w:left w:val="thinThickSmallGap" w:sz="24" w:space="0" w:color="auto"/>
            <w:right w:val="single" w:sz="4" w:space="0" w:color="auto"/>
          </w:tcBorders>
        </w:tcPr>
        <w:p w14:paraId="7417DB03" w14:textId="77777777" w:rsidR="00764FDD" w:rsidRDefault="00764FDD" w:rsidP="00764FDD">
          <w:r>
            <w:rPr>
              <w:noProof/>
            </w:rPr>
            <w:drawing>
              <wp:inline distT="0" distB="0" distL="0" distR="0" wp14:anchorId="21EF570F" wp14:editId="75EB95B7">
                <wp:extent cx="1840865" cy="628650"/>
                <wp:effectExtent l="0" t="0" r="6985" b="0"/>
                <wp:docPr id="699462686" name="Picture 69946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0865" cy="628650"/>
                        </a:xfrm>
                        <a:prstGeom prst="rect">
                          <a:avLst/>
                        </a:prstGeom>
                        <a:noFill/>
                      </pic:spPr>
                    </pic:pic>
                  </a:graphicData>
                </a:graphic>
              </wp:inline>
            </w:drawing>
          </w:r>
        </w:p>
      </w:tc>
      <w:tc>
        <w:tcPr>
          <w:tcW w:w="4753" w:type="dxa"/>
          <w:vMerge w:val="restart"/>
          <w:tcBorders>
            <w:top w:val="thinThickSmallGap" w:sz="24" w:space="0" w:color="auto"/>
            <w:left w:val="single" w:sz="4" w:space="0" w:color="auto"/>
            <w:right w:val="single" w:sz="4" w:space="0" w:color="auto"/>
          </w:tcBorders>
          <w:shd w:val="clear" w:color="auto" w:fill="D9D9D9" w:themeFill="background1" w:themeFillShade="D9"/>
          <w:vAlign w:val="center"/>
        </w:tcPr>
        <w:p w14:paraId="3D771F7D" w14:textId="77777777" w:rsidR="00764FDD" w:rsidRPr="00052366" w:rsidRDefault="00764FDD" w:rsidP="00764FDD">
          <w:pPr>
            <w:jc w:val="center"/>
            <w:rPr>
              <w:rFonts w:ascii="Calibri" w:hAnsi="Calibri" w:cs="Calibri"/>
              <w:sz w:val="26"/>
              <w:szCs w:val="26"/>
            </w:rPr>
          </w:pPr>
          <w:r w:rsidRPr="00052366">
            <w:rPr>
              <w:rFonts w:ascii="Calibri" w:hAnsi="Calibri" w:cs="Calibri"/>
              <w:b/>
              <w:sz w:val="26"/>
              <w:szCs w:val="26"/>
            </w:rPr>
            <w:t>GRIEVANCE &amp; COMPLAINTS POLICY</w:t>
          </w:r>
        </w:p>
        <w:p w14:paraId="5239F63A" w14:textId="1DFFC36C" w:rsidR="00764FDD" w:rsidRPr="00763C44" w:rsidRDefault="00764FDD" w:rsidP="00764FDD">
          <w:pPr>
            <w:spacing w:after="300"/>
            <w:jc w:val="center"/>
            <w:rPr>
              <w:sz w:val="24"/>
              <w:szCs w:val="24"/>
              <w:lang w:val="tr-TR"/>
            </w:rPr>
          </w:pPr>
          <w:r w:rsidRPr="00052366">
            <w:rPr>
              <w:rFonts w:ascii="Calibri" w:hAnsi="Calibri" w:cs="Calibri"/>
              <w:b/>
              <w:sz w:val="26"/>
              <w:szCs w:val="26"/>
            </w:rPr>
            <w:t>Workers, Community and Stakeholders</w:t>
          </w:r>
        </w:p>
      </w:tc>
      <w:tc>
        <w:tcPr>
          <w:tcW w:w="1296" w:type="dxa"/>
          <w:tcBorders>
            <w:top w:val="thinThickSmallGap" w:sz="24" w:space="0" w:color="auto"/>
            <w:left w:val="single" w:sz="4" w:space="0" w:color="auto"/>
            <w:bottom w:val="single" w:sz="4" w:space="0" w:color="auto"/>
            <w:right w:val="single" w:sz="4" w:space="0" w:color="auto"/>
          </w:tcBorders>
          <w:vAlign w:val="center"/>
        </w:tcPr>
        <w:p w14:paraId="14A7FDE4" w14:textId="77777777" w:rsidR="00764FDD" w:rsidRPr="008640EE" w:rsidRDefault="00764FDD" w:rsidP="00764FDD">
          <w:pPr>
            <w:spacing w:before="120" w:line="120" w:lineRule="atLeast"/>
            <w:rPr>
              <w:rFonts w:cstheme="minorHAnsi"/>
              <w:sz w:val="16"/>
              <w:szCs w:val="16"/>
            </w:rPr>
          </w:pPr>
          <w:r w:rsidRPr="004404B8">
            <w:rPr>
              <w:rFonts w:cstheme="minorHAnsi"/>
              <w:sz w:val="16"/>
              <w:szCs w:val="16"/>
            </w:rPr>
            <w:t>Document No</w:t>
          </w:r>
        </w:p>
      </w:tc>
      <w:tc>
        <w:tcPr>
          <w:tcW w:w="1296" w:type="dxa"/>
          <w:tcBorders>
            <w:top w:val="thinThickSmallGap" w:sz="24" w:space="0" w:color="auto"/>
            <w:left w:val="single" w:sz="4" w:space="0" w:color="auto"/>
            <w:bottom w:val="single" w:sz="4" w:space="0" w:color="auto"/>
            <w:right w:val="thinThickSmallGap" w:sz="24" w:space="0" w:color="auto"/>
          </w:tcBorders>
          <w:vAlign w:val="center"/>
        </w:tcPr>
        <w:p w14:paraId="0BC3E01C" w14:textId="434A86CB" w:rsidR="00764FDD" w:rsidRPr="005C0BB2" w:rsidRDefault="00764FDD" w:rsidP="00764FDD">
          <w:pPr>
            <w:spacing w:line="120" w:lineRule="atLeast"/>
            <w:rPr>
              <w:rFonts w:cstheme="minorHAnsi"/>
              <w:sz w:val="16"/>
              <w:szCs w:val="16"/>
            </w:rPr>
          </w:pPr>
          <w:r>
            <w:rPr>
              <w:rFonts w:cstheme="minorHAnsi"/>
              <w:sz w:val="16"/>
              <w:szCs w:val="16"/>
            </w:rPr>
            <w:t>EMS.SUS.</w:t>
          </w:r>
          <w:r w:rsidR="00EF43DF">
            <w:rPr>
              <w:rFonts w:cstheme="minorHAnsi"/>
              <w:sz w:val="16"/>
              <w:szCs w:val="16"/>
            </w:rPr>
            <w:t>POL</w:t>
          </w:r>
          <w:r>
            <w:rPr>
              <w:rFonts w:cstheme="minorHAnsi"/>
              <w:sz w:val="16"/>
              <w:szCs w:val="16"/>
            </w:rPr>
            <w:t>.0</w:t>
          </w:r>
          <w:r w:rsidR="00EF43DF">
            <w:rPr>
              <w:rFonts w:cstheme="minorHAnsi"/>
              <w:sz w:val="16"/>
              <w:szCs w:val="16"/>
            </w:rPr>
            <w:t>0</w:t>
          </w:r>
          <w:r w:rsidR="00052366">
            <w:rPr>
              <w:rFonts w:cstheme="minorHAnsi"/>
              <w:sz w:val="16"/>
              <w:szCs w:val="16"/>
            </w:rPr>
            <w:t>6</w:t>
          </w:r>
        </w:p>
      </w:tc>
    </w:tr>
    <w:tr w:rsidR="00764FDD" w14:paraId="2981BC08" w14:textId="77777777" w:rsidTr="00BF67C2">
      <w:trPr>
        <w:trHeight w:val="20"/>
        <w:jc w:val="center"/>
      </w:trPr>
      <w:tc>
        <w:tcPr>
          <w:tcW w:w="3189" w:type="dxa"/>
          <w:vMerge/>
          <w:tcBorders>
            <w:left w:val="thinThickSmallGap" w:sz="24" w:space="0" w:color="auto"/>
            <w:right w:val="single" w:sz="4" w:space="0" w:color="auto"/>
          </w:tcBorders>
        </w:tcPr>
        <w:p w14:paraId="6AED88EC" w14:textId="77777777" w:rsidR="00764FDD" w:rsidRDefault="00764FDD" w:rsidP="00764FDD">
          <w:pPr>
            <w:rPr>
              <w:noProof/>
            </w:rPr>
          </w:pPr>
        </w:p>
      </w:tc>
      <w:tc>
        <w:tcPr>
          <w:tcW w:w="4753" w:type="dxa"/>
          <w:vMerge/>
          <w:tcBorders>
            <w:left w:val="single" w:sz="4" w:space="0" w:color="auto"/>
            <w:right w:val="single" w:sz="4" w:space="0" w:color="auto"/>
          </w:tcBorders>
          <w:shd w:val="clear" w:color="auto" w:fill="D9D9D9" w:themeFill="background1" w:themeFillShade="D9"/>
          <w:vAlign w:val="center"/>
        </w:tcPr>
        <w:p w14:paraId="35AAC33D" w14:textId="77777777" w:rsidR="00764FDD" w:rsidRDefault="00764FDD" w:rsidP="00764FDD">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6"/>
              <w:szCs w:val="26"/>
            </w:rPr>
          </w:pPr>
        </w:p>
      </w:tc>
      <w:tc>
        <w:tcPr>
          <w:tcW w:w="1296" w:type="dxa"/>
          <w:tcBorders>
            <w:top w:val="single" w:sz="4" w:space="0" w:color="auto"/>
            <w:left w:val="single" w:sz="4" w:space="0" w:color="auto"/>
            <w:bottom w:val="single" w:sz="4" w:space="0" w:color="auto"/>
            <w:right w:val="single" w:sz="4" w:space="0" w:color="auto"/>
          </w:tcBorders>
          <w:vAlign w:val="center"/>
        </w:tcPr>
        <w:p w14:paraId="7310DE96" w14:textId="77777777" w:rsidR="00764FDD" w:rsidRPr="004404B8" w:rsidRDefault="00764FDD" w:rsidP="00764FDD">
          <w:pPr>
            <w:spacing w:line="120" w:lineRule="atLeast"/>
            <w:ind w:left="709" w:right="-469" w:hanging="709"/>
            <w:rPr>
              <w:rFonts w:cstheme="minorHAnsi"/>
              <w:sz w:val="16"/>
              <w:szCs w:val="16"/>
            </w:rPr>
          </w:pPr>
          <w:r w:rsidRPr="004404B8">
            <w:rPr>
              <w:rFonts w:cstheme="minorHAnsi"/>
              <w:sz w:val="16"/>
              <w:szCs w:val="16"/>
            </w:rPr>
            <w:t>Approval Date</w:t>
          </w:r>
          <w:r>
            <w:rPr>
              <w:rFonts w:cstheme="minorHAnsi"/>
              <w:sz w:val="16"/>
              <w:szCs w:val="16"/>
            </w:rPr>
            <w:t>:</w:t>
          </w:r>
        </w:p>
      </w:tc>
      <w:tc>
        <w:tcPr>
          <w:tcW w:w="1296" w:type="dxa"/>
          <w:tcBorders>
            <w:top w:val="single" w:sz="4" w:space="0" w:color="auto"/>
            <w:left w:val="single" w:sz="4" w:space="0" w:color="auto"/>
            <w:bottom w:val="single" w:sz="4" w:space="0" w:color="auto"/>
            <w:right w:val="thinThickSmallGap" w:sz="24" w:space="0" w:color="auto"/>
          </w:tcBorders>
          <w:vAlign w:val="center"/>
        </w:tcPr>
        <w:p w14:paraId="6938221E" w14:textId="7E146B59" w:rsidR="00764FDD" w:rsidRPr="00764FDD" w:rsidRDefault="00764FDD" w:rsidP="00764FDD">
          <w:pPr>
            <w:spacing w:line="120" w:lineRule="atLeast"/>
            <w:rPr>
              <w:rFonts w:cs="Times New Roman"/>
              <w:sz w:val="16"/>
              <w:szCs w:val="16"/>
            </w:rPr>
          </w:pPr>
          <w:r>
            <w:rPr>
              <w:rFonts w:cs="Times New Roman"/>
              <w:sz w:val="16"/>
              <w:szCs w:val="16"/>
            </w:rPr>
            <w:t>00.00.0000</w:t>
          </w:r>
        </w:p>
      </w:tc>
    </w:tr>
    <w:tr w:rsidR="00764FDD" w14:paraId="02F60C45" w14:textId="77777777" w:rsidTr="00BF67C2">
      <w:trPr>
        <w:trHeight w:val="20"/>
        <w:jc w:val="center"/>
      </w:trPr>
      <w:tc>
        <w:tcPr>
          <w:tcW w:w="3189" w:type="dxa"/>
          <w:vMerge/>
          <w:tcBorders>
            <w:left w:val="thinThickSmallGap" w:sz="24" w:space="0" w:color="auto"/>
            <w:right w:val="single" w:sz="4" w:space="0" w:color="auto"/>
          </w:tcBorders>
        </w:tcPr>
        <w:p w14:paraId="71173E4B" w14:textId="77777777" w:rsidR="00764FDD" w:rsidRDefault="00764FDD" w:rsidP="00764FDD">
          <w:pPr>
            <w:rPr>
              <w:noProof/>
            </w:rPr>
          </w:pPr>
        </w:p>
      </w:tc>
      <w:tc>
        <w:tcPr>
          <w:tcW w:w="4753" w:type="dxa"/>
          <w:vMerge/>
          <w:tcBorders>
            <w:left w:val="single" w:sz="4" w:space="0" w:color="auto"/>
            <w:right w:val="single" w:sz="4" w:space="0" w:color="auto"/>
          </w:tcBorders>
          <w:shd w:val="clear" w:color="auto" w:fill="D9D9D9" w:themeFill="background1" w:themeFillShade="D9"/>
          <w:vAlign w:val="center"/>
        </w:tcPr>
        <w:p w14:paraId="23BDB6B6" w14:textId="77777777" w:rsidR="00764FDD" w:rsidRDefault="00764FDD" w:rsidP="00764FDD">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6"/>
              <w:szCs w:val="26"/>
            </w:rPr>
          </w:pPr>
        </w:p>
      </w:tc>
      <w:tc>
        <w:tcPr>
          <w:tcW w:w="1296" w:type="dxa"/>
          <w:tcBorders>
            <w:top w:val="single" w:sz="4" w:space="0" w:color="auto"/>
            <w:left w:val="single" w:sz="4" w:space="0" w:color="auto"/>
            <w:bottom w:val="single" w:sz="4" w:space="0" w:color="auto"/>
            <w:right w:val="single" w:sz="4" w:space="0" w:color="auto"/>
          </w:tcBorders>
          <w:vAlign w:val="center"/>
        </w:tcPr>
        <w:p w14:paraId="40173A83" w14:textId="77777777" w:rsidR="00764FDD" w:rsidRPr="004404B8" w:rsidRDefault="00764FDD" w:rsidP="00764FDD">
          <w:pPr>
            <w:spacing w:line="120" w:lineRule="atLeast"/>
            <w:rPr>
              <w:rFonts w:cstheme="minorHAnsi"/>
              <w:sz w:val="16"/>
              <w:szCs w:val="16"/>
            </w:rPr>
          </w:pPr>
          <w:r w:rsidRPr="00C84368">
            <w:rPr>
              <w:rFonts w:cstheme="minorHAnsi"/>
              <w:sz w:val="16"/>
              <w:szCs w:val="16"/>
            </w:rPr>
            <w:t>Revision</w:t>
          </w:r>
        </w:p>
      </w:tc>
      <w:tc>
        <w:tcPr>
          <w:tcW w:w="1296" w:type="dxa"/>
          <w:tcBorders>
            <w:top w:val="single" w:sz="4" w:space="0" w:color="auto"/>
            <w:left w:val="single" w:sz="4" w:space="0" w:color="auto"/>
            <w:bottom w:val="single" w:sz="4" w:space="0" w:color="auto"/>
            <w:right w:val="thinThickSmallGap" w:sz="24" w:space="0" w:color="auto"/>
          </w:tcBorders>
          <w:vAlign w:val="center"/>
        </w:tcPr>
        <w:p w14:paraId="562C77A0" w14:textId="77777777" w:rsidR="00764FDD" w:rsidRPr="008640EE" w:rsidRDefault="00764FDD" w:rsidP="00764FDD">
          <w:pPr>
            <w:spacing w:line="120" w:lineRule="atLeast"/>
            <w:rPr>
              <w:rFonts w:cstheme="minorHAnsi"/>
              <w:sz w:val="16"/>
              <w:szCs w:val="16"/>
            </w:rPr>
          </w:pPr>
          <w:r>
            <w:rPr>
              <w:rFonts w:cstheme="minorHAnsi"/>
              <w:sz w:val="16"/>
              <w:szCs w:val="16"/>
            </w:rPr>
            <w:t>R000</w:t>
          </w:r>
        </w:p>
      </w:tc>
    </w:tr>
    <w:tr w:rsidR="00764FDD" w14:paraId="4116C779" w14:textId="77777777" w:rsidTr="00BF67C2">
      <w:trPr>
        <w:trHeight w:val="20"/>
        <w:jc w:val="center"/>
      </w:trPr>
      <w:tc>
        <w:tcPr>
          <w:tcW w:w="3189" w:type="dxa"/>
          <w:vMerge/>
          <w:tcBorders>
            <w:left w:val="thinThickSmallGap" w:sz="24" w:space="0" w:color="auto"/>
            <w:bottom w:val="thinThickSmallGap" w:sz="24" w:space="0" w:color="auto"/>
            <w:right w:val="single" w:sz="4" w:space="0" w:color="auto"/>
          </w:tcBorders>
        </w:tcPr>
        <w:p w14:paraId="3441700F" w14:textId="77777777" w:rsidR="00764FDD" w:rsidRDefault="00764FDD" w:rsidP="00764FDD">
          <w:pPr>
            <w:rPr>
              <w:noProof/>
            </w:rPr>
          </w:pPr>
        </w:p>
      </w:tc>
      <w:tc>
        <w:tcPr>
          <w:tcW w:w="4753" w:type="dxa"/>
          <w:vMerge/>
          <w:tcBorders>
            <w:left w:val="single" w:sz="4" w:space="0" w:color="auto"/>
            <w:bottom w:val="thinThickSmallGap" w:sz="24" w:space="0" w:color="auto"/>
            <w:right w:val="single" w:sz="4" w:space="0" w:color="auto"/>
          </w:tcBorders>
          <w:shd w:val="clear" w:color="auto" w:fill="D9D9D9" w:themeFill="background1" w:themeFillShade="D9"/>
          <w:vAlign w:val="center"/>
        </w:tcPr>
        <w:p w14:paraId="4D74C3BF" w14:textId="77777777" w:rsidR="00764FDD" w:rsidRDefault="00764FDD" w:rsidP="00764FDD">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6"/>
              <w:szCs w:val="26"/>
            </w:rPr>
          </w:pPr>
        </w:p>
      </w:tc>
      <w:tc>
        <w:tcPr>
          <w:tcW w:w="1296" w:type="dxa"/>
          <w:tcBorders>
            <w:top w:val="single" w:sz="4" w:space="0" w:color="auto"/>
            <w:left w:val="single" w:sz="4" w:space="0" w:color="auto"/>
            <w:bottom w:val="thinThickSmallGap" w:sz="24" w:space="0" w:color="auto"/>
            <w:right w:val="single" w:sz="4" w:space="0" w:color="auto"/>
          </w:tcBorders>
          <w:vAlign w:val="center"/>
        </w:tcPr>
        <w:p w14:paraId="13864E21" w14:textId="77777777" w:rsidR="00764FDD" w:rsidRPr="008640EE" w:rsidRDefault="00764FDD" w:rsidP="00764FDD">
          <w:pPr>
            <w:spacing w:line="120" w:lineRule="atLeast"/>
            <w:rPr>
              <w:rFonts w:cstheme="minorHAnsi"/>
              <w:sz w:val="16"/>
              <w:szCs w:val="16"/>
            </w:rPr>
          </w:pPr>
          <w:r w:rsidRPr="004404B8">
            <w:rPr>
              <w:rFonts w:cstheme="minorHAnsi"/>
              <w:sz w:val="16"/>
              <w:szCs w:val="16"/>
            </w:rPr>
            <w:t>Revision Date</w:t>
          </w:r>
          <w:r>
            <w:rPr>
              <w:rFonts w:cstheme="minorHAnsi"/>
              <w:sz w:val="16"/>
              <w:szCs w:val="16"/>
            </w:rPr>
            <w:t>:</w:t>
          </w:r>
        </w:p>
      </w:tc>
      <w:tc>
        <w:tcPr>
          <w:tcW w:w="1296" w:type="dxa"/>
          <w:tcBorders>
            <w:top w:val="single" w:sz="4" w:space="0" w:color="auto"/>
            <w:left w:val="single" w:sz="4" w:space="0" w:color="auto"/>
            <w:bottom w:val="thinThickSmallGap" w:sz="24" w:space="0" w:color="auto"/>
            <w:right w:val="thinThickSmallGap" w:sz="24" w:space="0" w:color="auto"/>
          </w:tcBorders>
          <w:vAlign w:val="center"/>
        </w:tcPr>
        <w:p w14:paraId="2270165E" w14:textId="77777777" w:rsidR="00764FDD" w:rsidRPr="008640EE" w:rsidRDefault="00764FDD" w:rsidP="00764FDD">
          <w:pPr>
            <w:spacing w:line="120" w:lineRule="atLeast"/>
            <w:rPr>
              <w:rFonts w:cstheme="minorHAnsi"/>
              <w:sz w:val="16"/>
              <w:szCs w:val="16"/>
            </w:rPr>
          </w:pPr>
          <w:r>
            <w:rPr>
              <w:rFonts w:cstheme="minorHAnsi"/>
              <w:sz w:val="16"/>
              <w:szCs w:val="16"/>
            </w:rPr>
            <w:t>00/00/0000</w:t>
          </w:r>
        </w:p>
      </w:tc>
    </w:tr>
  </w:tbl>
  <w:p w14:paraId="59105949" w14:textId="6CC9C4C0" w:rsidR="008B4AE5" w:rsidRDefault="008B4AE5">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D4D5D" w14:textId="77777777" w:rsidR="00EF43DF" w:rsidRDefault="00EF43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027988">
    <w:abstractNumId w:val="8"/>
  </w:num>
  <w:num w:numId="2" w16cid:durableId="1568803149">
    <w:abstractNumId w:val="6"/>
  </w:num>
  <w:num w:numId="3" w16cid:durableId="33971130">
    <w:abstractNumId w:val="5"/>
  </w:num>
  <w:num w:numId="4" w16cid:durableId="1510439919">
    <w:abstractNumId w:val="4"/>
  </w:num>
  <w:num w:numId="5" w16cid:durableId="1302231095">
    <w:abstractNumId w:val="7"/>
  </w:num>
  <w:num w:numId="6" w16cid:durableId="494496972">
    <w:abstractNumId w:val="3"/>
  </w:num>
  <w:num w:numId="7" w16cid:durableId="414666631">
    <w:abstractNumId w:val="2"/>
  </w:num>
  <w:num w:numId="8" w16cid:durableId="1071077833">
    <w:abstractNumId w:val="1"/>
  </w:num>
  <w:num w:numId="9" w16cid:durableId="1941058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366"/>
    <w:rsid w:val="0006063C"/>
    <w:rsid w:val="0015074B"/>
    <w:rsid w:val="00284B86"/>
    <w:rsid w:val="0029639D"/>
    <w:rsid w:val="00326F90"/>
    <w:rsid w:val="00764FDD"/>
    <w:rsid w:val="008B4AE5"/>
    <w:rsid w:val="00A228D3"/>
    <w:rsid w:val="00AA1D8D"/>
    <w:rsid w:val="00B47730"/>
    <w:rsid w:val="00BB0193"/>
    <w:rsid w:val="00CB0664"/>
    <w:rsid w:val="00EF3579"/>
    <w:rsid w:val="00EF43DF"/>
    <w:rsid w:val="00F072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29C93"/>
  <w14:defaultImageDpi w14:val="300"/>
  <w15:docId w15:val="{D7F434A8-1425-455D-8C27-929E28AD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1327</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ELSAYED AHMED</cp:lastModifiedBy>
  <cp:revision>5</cp:revision>
  <dcterms:created xsi:type="dcterms:W3CDTF">2026-09-21T07:51:00Z</dcterms:created>
  <dcterms:modified xsi:type="dcterms:W3CDTF">2026-09-24T08:08:00Z</dcterms:modified>
  <cp:category/>
</cp:coreProperties>
</file>