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identifies, evaluates and prioritises the risks and opportunities arising from its context, interested party requirements, processes and customer orders, and how actions are planned, implemented and checked for effectiveness, in line with ISO 9001:2015 (clause 6.1),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business and management system level risks and opportunities of all EMS departments and processes, and the order-level (post-order) risk analysis carried out for customer orders before production. Detailed operational assessments (OHS hazards, environmental aspects, chemical risks and security risks) are carried out under their own procedures and their significant results are carried into this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Risk and Opportunity Register, decides on high risks and provides resources for the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w:t>
      </w:r>
      <w:r>
        <w:rPr>
          <w:rFonts w:ascii="Calibri" w:hAnsi="Calibri" w:cs="Arial"/>
          <w:sz w:val="24"/>
          <w:szCs w:val="24"/>
        </w:rPr>
        <w:t xml:space="preserve"> Coordinates the process, maintains the register, follows up actions and reports to the management review.</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the risks and opportunities of their processes, propose and implement actions and report their status every quarter.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post-order risk analysis for customer orders and verifies that control measures are in place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HSE, Quality, CSR and Security Managers:</w:t>
      </w:r>
      <w:r>
        <w:rPr>
          <w:rFonts w:ascii="Calibri" w:hAnsi="Calibri" w:cs="Arial"/>
          <w:sz w:val="24"/>
          <w:szCs w:val="24"/>
        </w:rPr>
        <w:t xml:space="preserve"> Transfer the significant results of their specialised risk assessments to the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w:t>
      </w:r>
      <w:r>
        <w:rPr>
          <w:rFonts w:ascii="Calibri" w:hAnsi="Calibri" w:cs="Arial"/>
          <w:sz w:val="24"/>
          <w:szCs w:val="24"/>
        </w:rPr>
        <w:t xml:space="preserve"> The effect of uncertainty; a possible event that may prevent EMS from achieving its objectives or intended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Opportunity:</w:t>
      </w:r>
      <w:r>
        <w:rPr>
          <w:rFonts w:ascii="Calibri" w:hAnsi="Calibri" w:cs="Arial"/>
          <w:sz w:val="24"/>
          <w:szCs w:val="24"/>
        </w:rPr>
        <w:t xml:space="preserve"> A situation that can lead to better performance, new business, cost savings or improvement.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Likelihood:</w:t>
      </w:r>
      <w:r>
        <w:rPr>
          <w:rFonts w:ascii="Calibri" w:hAnsi="Calibri" w:cs="Arial"/>
          <w:sz w:val="24"/>
          <w:szCs w:val="24"/>
        </w:rPr>
        <w:t xml:space="preserve"> The probability that the risk will occur, scored from 1 (very unlikely) to 5 (almost certain).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Severity:</w:t>
      </w:r>
      <w:r>
        <w:rPr>
          <w:rFonts w:ascii="Calibri" w:hAnsi="Calibri" w:cs="Arial"/>
          <w:sz w:val="24"/>
          <w:szCs w:val="24"/>
        </w:rPr>
        <w:t xml:space="preserve"> The size of the consequence if the risk occurs, scored from 1 (negligible) to 5 (very serious).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Risk Score:</w:t>
      </w:r>
      <w:r>
        <w:rPr>
          <w:rFonts w:ascii="Calibri" w:hAnsi="Calibri" w:cs="Arial"/>
          <w:sz w:val="24"/>
          <w:szCs w:val="24"/>
        </w:rPr>
        <w:t xml:space="preserve"> Likelihood × Severity, used to prioritise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Residual Risk:</w:t>
      </w:r>
      <w:r>
        <w:rPr>
          <w:rFonts w:ascii="Calibri" w:hAnsi="Calibri" w:cs="Arial"/>
          <w:sz w:val="24"/>
          <w:szCs w:val="24"/>
        </w:rPr>
        <w:t xml:space="preserve"> The risk score that remains after the control measures are applied.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Post-Order Risk Analysis:</w:t>
      </w:r>
      <w:r>
        <w:rPr>
          <w:rFonts w:ascii="Calibri" w:hAnsi="Calibri" w:cs="Arial"/>
          <w:sz w:val="24"/>
          <w:szCs w:val="24"/>
        </w:rPr>
        <w:t xml:space="preserve"> The scoring of the quality, delivery, material and compliance risks of an accepted customer order before production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RISKS AND OPPORTUNITIES</w:t>
      </w:r>
    </w:p>
    <w:p>
      <w:pPr>
        <w:pStyle w:val="ListeParagraf"/>
        <w:spacing w:after="80"/>
        <w:ind w:left="709" w:right="0"/>
        <w:jc w:val="both"/>
      </w:pPr>
      <w:r>
        <w:rPr>
          <w:rFonts w:ascii="Calibri" w:hAnsi="Calibri" w:cs="Arial"/>
          <w:sz w:val="24"/>
          <w:szCs w:val="24"/>
        </w:rPr>
        <w:t xml:space="preserve">1.1. Each department identifies its risks and opportunities at least once a year, using as inputs:</w:t>
      </w:r>
    </w:p>
    <w:p>
      <w:pPr>
        <w:pStyle w:val="ListeParagraf"/>
        <w:numPr>
          <w:ilvl w:val="0"/>
          <w:numId w:val="1"/>
        </w:numPr>
        <w:spacing w:after="60"/>
        <w:jc w:val="both"/>
      </w:pPr>
      <w:r>
        <w:rPr>
          <w:rFonts w:ascii="Calibri" w:hAnsi="Calibri" w:cs="Arial"/>
          <w:sz w:val="24"/>
          <w:szCs w:val="24"/>
        </w:rPr>
        <w:t xml:space="preserve">The context analysis and the interested parties register (EMS.YS.PRO.11.03.),</w:t>
      </w:r>
    </w:p>
    <w:p>
      <w:pPr>
        <w:pStyle w:val="ListeParagraf"/>
        <w:numPr>
          <w:ilvl w:val="0"/>
          <w:numId w:val="1"/>
        </w:numPr>
        <w:spacing w:after="60"/>
        <w:jc w:val="both"/>
      </w:pPr>
      <w:r>
        <w:rPr>
          <w:rFonts w:ascii="Calibri" w:hAnsi="Calibri" w:cs="Arial"/>
          <w:sz w:val="24"/>
          <w:szCs w:val="24"/>
        </w:rPr>
        <w:t xml:space="preserve">Process performance, KPIs, customer complaints and audit findings,</w:t>
      </w:r>
    </w:p>
    <w:p>
      <w:pPr>
        <w:pStyle w:val="ListeParagraf"/>
        <w:numPr>
          <w:ilvl w:val="0"/>
          <w:numId w:val="1"/>
        </w:numPr>
        <w:spacing w:after="60"/>
        <w:jc w:val="both"/>
      </w:pPr>
      <w:r>
        <w:rPr>
          <w:rFonts w:ascii="Calibri" w:hAnsi="Calibri" w:cs="Arial"/>
          <w:sz w:val="24"/>
          <w:szCs w:val="24"/>
        </w:rPr>
        <w:t xml:space="preserve">Significant environmental aspects, OHS risks, chemical and security risk assessments,</w:t>
      </w:r>
    </w:p>
    <w:p>
      <w:pPr>
        <w:pStyle w:val="ListeParagraf"/>
        <w:numPr>
          <w:ilvl w:val="0"/>
          <w:numId w:val="1"/>
        </w:numPr>
        <w:spacing w:after="60"/>
        <w:jc w:val="both"/>
      </w:pPr>
      <w:r>
        <w:rPr>
          <w:rFonts w:ascii="Calibri" w:hAnsi="Calibri" w:cs="Arial"/>
          <w:sz w:val="24"/>
          <w:szCs w:val="24"/>
        </w:rPr>
        <w:t xml:space="preserve">Planned changes (new customer, product, machine, process, building or legal requirement).</w:t>
      </w:r>
    </w:p>
    <w:p>
      <w:pPr>
        <w:pStyle w:val="ListeParagraf"/>
        <w:spacing w:after="80"/>
        <w:ind w:left="709" w:right="0"/>
        <w:jc w:val="both"/>
      </w:pPr>
      <w:r>
        <w:rPr>
          <w:rFonts w:ascii="Calibri" w:hAnsi="Calibri" w:cs="Arial"/>
          <w:sz w:val="24"/>
          <w:szCs w:val="24"/>
        </w:rPr>
        <w:t xml:space="preserve">1.2. Typical risks include loss of a key customer, late delivery, shade or quality failures, RSL test failure, breakdown of critical utilities, shortage of skilled workers, social compliance violations, chemical spills and security breaches.</w:t>
      </w:r>
    </w:p>
    <w:p>
      <w:pPr>
        <w:pStyle w:val="ListeParagraf"/>
        <w:spacing w:after="80"/>
        <w:ind w:left="709" w:right="0"/>
        <w:jc w:val="both"/>
      </w:pPr>
      <w:r>
        <w:rPr>
          <w:rFonts w:ascii="Calibri" w:hAnsi="Calibri" w:cs="Arial"/>
          <w:sz w:val="24"/>
          <w:szCs w:val="24"/>
        </w:rPr>
        <w:t xml:space="preserve">1.3. Typical opportunities include new markets and certified products (GRS, OCS), energy and water savings, automation, multi-skilling and digital tracking systems.</w:t>
      </w:r>
    </w:p>
    <w:p>
      <w:pPr>
        <w:pStyle w:val="ListeParagraf"/>
        <w:spacing w:after="80"/>
        <w:ind w:left="709" w:right="0"/>
        <w:jc w:val="both"/>
      </w:pPr>
      <w:r>
        <w:rPr>
          <w:rFonts w:ascii="Calibri" w:hAnsi="Calibri" w:cs="Arial"/>
          <w:sz w:val="24"/>
          <w:szCs w:val="24"/>
        </w:rPr>
        <w:t xml:space="preserve">1.4. Risks and opportunities are recorded in the Risk and Opportunity Register with the process, description, cause, effect, existing controls and owner.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EVALUATING AND PRIORITISING</w:t>
      </w:r>
    </w:p>
    <w:p>
      <w:pPr>
        <w:pStyle w:val="ListeParagraf"/>
        <w:spacing w:after="80"/>
        <w:ind w:left="709" w:right="0"/>
        <w:jc w:val="both"/>
      </w:pPr>
      <w:r>
        <w:rPr>
          <w:rFonts w:ascii="Calibri" w:hAnsi="Calibri" w:cs="Arial"/>
          <w:sz w:val="24"/>
          <w:szCs w:val="24"/>
        </w:rPr>
        <w:t xml:space="preserve">2.1. Each risk is scored using Likelihood (1-5) × Severity (1-5), taking existing controls into account:</w:t>
      </w:r>
    </w:p>
    <w:p>
      <w:pPr>
        <w:pStyle w:val="ListeParagraf"/>
        <w:numPr>
          <w:ilvl w:val="0"/>
          <w:numId w:val="1"/>
        </w:numPr>
        <w:spacing w:after="60"/>
        <w:jc w:val="both"/>
      </w:pPr>
      <w:r>
        <w:rPr>
          <w:rFonts w:ascii="Calibri" w:hAnsi="Calibri" w:cs="Arial"/>
          <w:sz w:val="24"/>
          <w:szCs w:val="24"/>
        </w:rPr>
        <w:t xml:space="preserve">1-6: Low risk – monitored within existing controls,</w:t>
      </w:r>
    </w:p>
    <w:p>
      <w:pPr>
        <w:pStyle w:val="ListeParagraf"/>
        <w:numPr>
          <w:ilvl w:val="0"/>
          <w:numId w:val="1"/>
        </w:numPr>
        <w:spacing w:after="60"/>
        <w:jc w:val="both"/>
      </w:pPr>
      <w:r>
        <w:rPr>
          <w:rFonts w:ascii="Calibri" w:hAnsi="Calibri" w:cs="Arial"/>
          <w:sz w:val="24"/>
          <w:szCs w:val="24"/>
        </w:rPr>
        <w:t xml:space="preserve">8-12: Medium risk – an action plan is prepared within three months,</w:t>
      </w:r>
    </w:p>
    <w:p>
      <w:pPr>
        <w:pStyle w:val="ListeParagraf"/>
        <w:numPr>
          <w:ilvl w:val="0"/>
          <w:numId w:val="1"/>
        </w:numPr>
        <w:spacing w:after="60"/>
        <w:jc w:val="both"/>
      </w:pPr>
      <w:r>
        <w:rPr>
          <w:rFonts w:ascii="Calibri" w:hAnsi="Calibri" w:cs="Arial"/>
          <w:sz w:val="24"/>
          <w:szCs w:val="24"/>
        </w:rPr>
        <w:t xml:space="preserve">15-25: High risk – immediate action is planned and approved by the General Manager.</w:t>
      </w:r>
    </w:p>
    <w:p>
      <w:pPr>
        <w:pStyle w:val="ListeParagraf"/>
        <w:spacing w:after="80"/>
        <w:ind w:left="709" w:right="0"/>
        <w:jc w:val="both"/>
      </w:pPr>
      <w:r>
        <w:rPr>
          <w:rFonts w:ascii="Calibri" w:hAnsi="Calibri" w:cs="Arial"/>
          <w:sz w:val="24"/>
          <w:szCs w:val="24"/>
        </w:rPr>
        <w:t xml:space="preserve">2.2. Opportunities are evaluated by expected benefit, cost and feasibility (High / Medium / Low) and prioritised by management.</w:t>
      </w:r>
    </w:p>
    <w:p>
      <w:pPr>
        <w:pStyle w:val="ListeParagraf"/>
        <w:spacing w:after="80"/>
        <w:ind w:left="709" w:right="0"/>
        <w:jc w:val="both"/>
      </w:pPr>
      <w:r>
        <w:rPr>
          <w:rFonts w:ascii="Calibri" w:hAnsi="Calibri" w:cs="Arial"/>
          <w:sz w:val="24"/>
          <w:szCs w:val="24"/>
        </w:rPr>
        <w:t xml:space="preserve">2.3. Risks related to product safety, chemical compliance and customer social-compliance requirements are always evaluated at least as Medium, unless a documented control proves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ORDER-LEVEL (POST-ORDER) RISK ANALYSIS</w:t>
      </w:r>
    </w:p>
    <w:p>
      <w:pPr>
        <w:pStyle w:val="ListeParagraf"/>
        <w:spacing w:after="80"/>
        <w:ind w:left="709" w:right="0"/>
        <w:jc w:val="both"/>
      </w:pPr>
      <w:r>
        <w:rPr>
          <w:rFonts w:ascii="Calibri" w:hAnsi="Calibri" w:cs="Arial"/>
          <w:sz w:val="24"/>
          <w:szCs w:val="24"/>
        </w:rPr>
        <w:t xml:space="preserve">3.1. For each accepted customer order and before production, Quality Assurance holds a risk analysis meeting with Merchandising, Planning, Production and Laboratory (EMS.ÜR.TL.05.11), according to EMS.ÜR.PRO.05.03.</w:t>
      </w:r>
    </w:p>
    <w:p>
      <w:pPr>
        <w:pStyle w:val="ListeParagraf"/>
        <w:spacing w:after="80"/>
        <w:ind w:left="709" w:right="0"/>
        <w:jc w:val="both"/>
      </w:pPr>
      <w:r>
        <w:rPr>
          <w:rFonts w:ascii="Calibri" w:hAnsi="Calibri" w:cs="Arial"/>
          <w:sz w:val="24"/>
          <w:szCs w:val="24"/>
        </w:rPr>
        <w:t xml:space="preserve">3.2. The quality, delivery, material availability, compliance and new process risks of the order are scored with the same Likelihood × Severity method and recorded on the Post-Order Risk Analysis Record (EMS.QA.FRM.00.01).</w:t>
      </w:r>
    </w:p>
    <w:p>
      <w:pPr>
        <w:pStyle w:val="ListeParagraf"/>
        <w:spacing w:after="80"/>
        <w:ind w:left="709" w:right="0"/>
        <w:jc w:val="both"/>
      </w:pPr>
      <w:r>
        <w:rPr>
          <w:rFonts w:ascii="Calibri" w:hAnsi="Calibri" w:cs="Arial"/>
          <w:sz w:val="24"/>
          <w:szCs w:val="24"/>
        </w:rPr>
        <w:t xml:space="preserve">3.3. For each high risk, the control measure, the responsible person and the deadline are recorded on the Risk Analysis Record (EMS.QA.FRM.00.02).</w:t>
      </w:r>
    </w:p>
    <w:p>
      <w:pPr>
        <w:pStyle w:val="ListeParagraf"/>
        <w:spacing w:after="80"/>
        <w:ind w:left="709" w:right="0"/>
        <w:jc w:val="both"/>
      </w:pPr>
      <w:r>
        <w:rPr>
          <w:rFonts w:ascii="Calibri" w:hAnsi="Calibri" w:cs="Arial"/>
          <w:sz w:val="24"/>
          <w:szCs w:val="24"/>
        </w:rPr>
        <w:t xml:space="preserve">3.4. A high-risk order does not start production before the action plan is approved; significant repeating order risks are transferred to the Risk and Opportunity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PLANNING AND IMPLEMENTING ACTIONS</w:t>
      </w:r>
    </w:p>
    <w:p>
      <w:pPr>
        <w:pStyle w:val="ListeParagraf"/>
        <w:spacing w:after="80"/>
        <w:ind w:left="709" w:right="0"/>
        <w:jc w:val="both"/>
      </w:pPr>
      <w:r>
        <w:rPr>
          <w:rFonts w:ascii="Calibri" w:hAnsi="Calibri" w:cs="Arial"/>
          <w:sz w:val="24"/>
          <w:szCs w:val="24"/>
        </w:rPr>
        <w:t xml:space="preserve">4.1. For medium and high risks and selected opportunities, actions are defined in the Risk and Opportunity Register with the responsible person, deadline and required resources.</w:t>
      </w:r>
    </w:p>
    <w:p>
      <w:pPr>
        <w:pStyle w:val="ListeParagraf"/>
        <w:spacing w:after="80"/>
        <w:ind w:left="709" w:right="0"/>
        <w:jc w:val="both"/>
      </w:pPr>
      <w:r>
        <w:rPr>
          <w:rFonts w:ascii="Calibri" w:hAnsi="Calibri" w:cs="Arial"/>
          <w:sz w:val="24"/>
          <w:szCs w:val="24"/>
        </w:rPr>
        <w:t xml:space="preserve">4.2. Actions are proportionate to the potential impact and are integrated into objectives, budgets, procedures and maintenance or training plans where possible.</w:t>
      </w:r>
    </w:p>
    <w:p>
      <w:pPr>
        <w:pStyle w:val="ListeParagraf"/>
        <w:spacing w:after="80"/>
        <w:ind w:left="709" w:right="0"/>
        <w:jc w:val="both"/>
      </w:pPr>
      <w:r>
        <w:rPr>
          <w:rFonts w:ascii="Calibri" w:hAnsi="Calibri" w:cs="Arial"/>
          <w:sz w:val="24"/>
          <w:szCs w:val="24"/>
        </w:rPr>
        <w:t xml:space="preserve">4.3. Planned changes are evaluated for their risks before implementation (EMS.İS.PRO.18.17).</w:t>
      </w:r>
    </w:p>
    <w:p>
      <w:pPr>
        <w:pStyle w:val="ListeParagraf"/>
        <w:spacing w:after="80"/>
        <w:ind w:left="709" w:right="0"/>
        <w:jc w:val="both"/>
      </w:pPr>
      <w:r>
        <w:rPr>
          <w:rFonts w:ascii="Calibri" w:hAnsi="Calibri" w:cs="Arial"/>
          <w:sz w:val="24"/>
          <w:szCs w:val="24"/>
        </w:rPr>
        <w:t xml:space="preserve">4.4. Department managers report the status of their actions to the Management System Representative every quarter.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EVALUATING EFFECTIVENESS</w:t>
      </w:r>
    </w:p>
    <w:p>
      <w:pPr>
        <w:pStyle w:val="ListeParagraf"/>
        <w:spacing w:after="80"/>
        <w:ind w:left="709" w:right="0"/>
        <w:jc w:val="both"/>
      </w:pPr>
      <w:r>
        <w:rPr>
          <w:rFonts w:ascii="Calibri" w:hAnsi="Calibri" w:cs="Arial"/>
          <w:sz w:val="24"/>
          <w:szCs w:val="24"/>
        </w:rPr>
        <w:t xml:space="preserve">5.1. After an action is completed, the risk is re-scored; the action is effective if the residual score has dropped to an acceptable level (Low, or Medium with an approved justification).</w:t>
      </w:r>
    </w:p>
    <w:p>
      <w:pPr>
        <w:pStyle w:val="ListeParagraf"/>
        <w:spacing w:after="80"/>
        <w:ind w:left="709" w:right="0"/>
        <w:jc w:val="both"/>
      </w:pPr>
      <w:r>
        <w:rPr>
          <w:rFonts w:ascii="Calibri" w:hAnsi="Calibri" w:cs="Arial"/>
          <w:sz w:val="24"/>
          <w:szCs w:val="24"/>
        </w:rPr>
        <w:t xml:space="preserve">5.2. If the action is not effective, a new action is defined and the case is reported to the General Manager.</w:t>
      </w:r>
    </w:p>
    <w:p>
      <w:pPr>
        <w:pStyle w:val="ListeParagraf"/>
        <w:spacing w:after="80"/>
        <w:ind w:left="709" w:right="0"/>
        <w:jc w:val="both"/>
      </w:pPr>
      <w:r>
        <w:rPr>
          <w:rFonts w:ascii="Calibri" w:hAnsi="Calibri" w:cs="Arial"/>
          <w:sz w:val="24"/>
          <w:szCs w:val="24"/>
        </w:rPr>
        <w:t xml:space="preserve">5.3. When a risk occurs (incident, complaint, nonconformity), a corrective action is opened according to EMS.YS.PRO.11.02 and the register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REVIEW AND UPDATE</w:t>
      </w:r>
    </w:p>
    <w:p>
      <w:pPr>
        <w:pStyle w:val="ListeParagraf"/>
        <w:spacing w:after="80"/>
        <w:ind w:left="709" w:right="0"/>
        <w:jc w:val="both"/>
      </w:pPr>
      <w:r>
        <w:rPr>
          <w:rFonts w:ascii="Calibri" w:hAnsi="Calibri" w:cs="Arial"/>
          <w:sz w:val="24"/>
          <w:szCs w:val="24"/>
        </w:rPr>
        <w:t xml:space="preserve">6.1. The register is reviewed at least once a year and also after a significant change, incident, customer complaint or serious audit finding.</w:t>
      </w:r>
    </w:p>
    <w:p>
      <w:pPr>
        <w:pStyle w:val="ListeParagraf"/>
        <w:spacing w:after="80"/>
        <w:ind w:left="709" w:right="0"/>
        <w:jc w:val="both"/>
      </w:pPr>
      <w:r>
        <w:rPr>
          <w:rFonts w:ascii="Calibri" w:hAnsi="Calibri" w:cs="Arial"/>
          <w:sz w:val="24"/>
          <w:szCs w:val="24"/>
        </w:rPr>
        <w:t xml:space="preserve">6.2. The status of risks, opportunities and actions is presented as an input to the management review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following indicators are monitored:</w:t>
      </w:r>
    </w:p>
    <w:p>
      <w:pPr>
        <w:pStyle w:val="ListeParagraf"/>
        <w:numPr>
          <w:ilvl w:val="0"/>
          <w:numId w:val="1"/>
        </w:numPr>
        <w:spacing w:after="60"/>
        <w:jc w:val="both"/>
      </w:pPr>
      <w:r>
        <w:rPr>
          <w:rFonts w:ascii="Calibri" w:hAnsi="Calibri" w:cs="Arial"/>
          <w:sz w:val="24"/>
          <w:szCs w:val="24"/>
        </w:rPr>
        <w:t xml:space="preserve">Number of open high risks and their trend,</w:t>
      </w:r>
    </w:p>
    <w:p>
      <w:pPr>
        <w:pStyle w:val="ListeParagraf"/>
        <w:numPr>
          <w:ilvl w:val="0"/>
          <w:numId w:val="1"/>
        </w:numPr>
        <w:spacing w:after="60"/>
        <w:jc w:val="both"/>
      </w:pPr>
      <w:r>
        <w:rPr>
          <w:rFonts w:ascii="Calibri" w:hAnsi="Calibri" w:cs="Arial"/>
          <w:sz w:val="24"/>
          <w:szCs w:val="24"/>
        </w:rPr>
        <w:t xml:space="preserve">Percentage of actions completed on time (target: at least 90%),</w:t>
      </w:r>
    </w:p>
    <w:p>
      <w:pPr>
        <w:pStyle w:val="ListeParagraf"/>
        <w:numPr>
          <w:ilvl w:val="0"/>
          <w:numId w:val="1"/>
        </w:numPr>
        <w:spacing w:after="60"/>
        <w:jc w:val="both"/>
      </w:pPr>
      <w:r>
        <w:rPr>
          <w:rFonts w:ascii="Calibri" w:hAnsi="Calibri" w:cs="Arial"/>
          <w:sz w:val="24"/>
          <w:szCs w:val="24"/>
        </w:rPr>
        <w:t xml:space="preserve">Percentage of actions found effective at re-evaluation,</w:t>
      </w:r>
    </w:p>
    <w:p>
      <w:pPr>
        <w:pStyle w:val="ListeParagraf"/>
        <w:numPr>
          <w:ilvl w:val="0"/>
          <w:numId w:val="1"/>
        </w:numPr>
        <w:spacing w:after="60"/>
        <w:jc w:val="both"/>
      </w:pPr>
      <w:r>
        <w:rPr>
          <w:rFonts w:ascii="Calibri" w:hAnsi="Calibri" w:cs="Arial"/>
          <w:sz w:val="24"/>
          <w:szCs w:val="24"/>
        </w:rPr>
        <w:t xml:space="preserve">Number of opportunities realised during the year,</w:t>
      </w:r>
    </w:p>
    <w:p>
      <w:pPr>
        <w:pStyle w:val="ListeParagraf"/>
        <w:numPr>
          <w:ilvl w:val="0"/>
          <w:numId w:val="1"/>
        </w:numPr>
        <w:spacing w:after="60"/>
        <w:jc w:val="both"/>
      </w:pPr>
      <w:r>
        <w:rPr>
          <w:rFonts w:ascii="Calibri" w:hAnsi="Calibri" w:cs="Arial"/>
          <w:sz w:val="24"/>
          <w:szCs w:val="24"/>
        </w:rPr>
        <w:t xml:space="preserve">Number of orders started without post-order risk analysis (target: 0).</w:t>
      </w:r>
    </w:p>
    <w:p>
      <w:pPr>
        <w:pStyle w:val="ListeParagraf"/>
        <w:spacing w:after="80"/>
        <w:ind w:left="709" w:right="0"/>
        <w:jc w:val="both"/>
      </w:pPr>
      <w:r>
        <w:rPr>
          <w:rFonts w:ascii="Calibri" w:hAnsi="Calibri" w:cs="Arial"/>
          <w:sz w:val="24"/>
          <w:szCs w:val="24"/>
        </w:rPr>
        <w:t xml:space="preserve">7.2. Targets are defined in the company policy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Risk and Opportunity Register</w:t>
      </w:r>
    </w:p>
    <w:p>
      <w:pPr>
        <w:pStyle w:val="ListeParagraf"/>
        <w:numPr>
          <w:ilvl w:val="0"/>
          <w:numId w:val="1"/>
        </w:numPr>
        <w:spacing w:after="60"/>
        <w:jc w:val="both"/>
      </w:pPr>
      <w:r>
        <w:rPr>
          <w:rFonts w:ascii="Calibri" w:hAnsi="Calibri" w:cs="Arial"/>
          <w:sz w:val="24"/>
          <w:szCs w:val="24"/>
        </w:rPr>
        <w:t xml:space="preserve">Action Follow-up List</w:t>
      </w:r>
    </w:p>
    <w:p>
      <w:pPr>
        <w:pStyle w:val="ListeParagraf"/>
        <w:numPr>
          <w:ilvl w:val="0"/>
          <w:numId w:val="1"/>
        </w:numPr>
        <w:spacing w:after="60"/>
        <w:jc w:val="both"/>
      </w:pPr>
      <w:r>
        <w:rPr>
          <w:rFonts w:ascii="Calibri" w:hAnsi="Calibri" w:cs="Arial"/>
          <w:sz w:val="24"/>
          <w:szCs w:val="24"/>
        </w:rPr>
        <w:t xml:space="preserve">EMS.QA.FRM.00.01. Post-Order Risk Analysis Record</w:t>
      </w:r>
    </w:p>
    <w:p>
      <w:pPr>
        <w:pStyle w:val="ListeParagraf"/>
        <w:numPr>
          <w:ilvl w:val="0"/>
          <w:numId w:val="1"/>
        </w:numPr>
        <w:spacing w:after="60"/>
        <w:jc w:val="both"/>
      </w:pPr>
      <w:r>
        <w:rPr>
          <w:rFonts w:ascii="Calibri" w:hAnsi="Calibri" w:cs="Arial"/>
          <w:sz w:val="24"/>
          <w:szCs w:val="24"/>
        </w:rPr>
        <w:t xml:space="preserve">EMS.QA.FRM.00.02. Risk Analysis Record</w:t>
      </w:r>
    </w:p>
    <w:p>
      <w:pPr>
        <w:pStyle w:val="ListeParagraf"/>
        <w:numPr>
          <w:ilvl w:val="0"/>
          <w:numId w:val="1"/>
        </w:numPr>
        <w:spacing w:after="60"/>
        <w:jc w:val="both"/>
      </w:pPr>
      <w:r>
        <w:rPr>
          <w:rFonts w:ascii="Calibri" w:hAnsi="Calibri" w:cs="Arial"/>
          <w:sz w:val="24"/>
          <w:szCs w:val="24"/>
        </w:rPr>
        <w:t xml:space="preserve">EMS.YS.PRO.11.04 Risk Analysis Procedure; EMS.ÜR.TL.05.11 Risk analysis meeting instruction</w:t>
      </w:r>
    </w:p>
    <w:p>
      <w:pPr>
        <w:pStyle w:val="ListeParagraf"/>
        <w:numPr>
          <w:ilvl w:val="0"/>
          <w:numId w:val="1"/>
        </w:numPr>
        <w:spacing w:after="60"/>
        <w:jc w:val="both"/>
      </w:pPr>
      <w:r>
        <w:rPr>
          <w:rFonts w:ascii="Calibri" w:hAnsi="Calibri" w:cs="Arial"/>
          <w:sz w:val="24"/>
          <w:szCs w:val="24"/>
        </w:rPr>
        <w:t xml:space="preserve">EMS.ÜR.PRO.05.03. Order (Contract) Review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EMS.YS.PRO.11.05. Management Review Procedure</w:t>
      </w:r>
    </w:p>
    <w:p>
      <w:pPr>
        <w:pStyle w:val="ListeParagraf"/>
        <w:numPr>
          <w:ilvl w:val="0"/>
          <w:numId w:val="1"/>
        </w:numPr>
        <w:spacing w:after="60"/>
        <w:jc w:val="both"/>
      </w:pPr>
      <w:r>
        <w:rPr>
          <w:rFonts w:ascii="Calibri" w:hAnsi="Calibri" w:cs="Arial"/>
          <w:sz w:val="24"/>
          <w:szCs w:val="24"/>
        </w:rPr>
        <w:t xml:space="preserve">EMS.ÇV.PRO.19.01. Environmental Aspects and Impacts Evaluation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EMS.İS.PRO.18.17. Management of Change Procedure</w:t>
      </w:r>
    </w:p>
    <w:p>
      <w:pPr>
        <w:pStyle w:val="ListeParagraf"/>
        <w:numPr>
          <w:ilvl w:val="0"/>
          <w:numId w:val="1"/>
        </w:numPr>
        <w:spacing w:after="60"/>
        <w:jc w:val="both"/>
      </w:pPr>
      <w:r>
        <w:rPr>
          <w:rFonts w:ascii="Calibri" w:hAnsi="Calibri" w:cs="Arial"/>
          <w:sz w:val="24"/>
          <w:szCs w:val="24"/>
        </w:rPr>
        <w:t xml:space="preserve">EMS.İD.PRO.03.06. Security Risk Assessment and Personnel Security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department managers, audit results and changes in the context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بتحديد المخاطر والفرص الناشئة عن سياقها ومتطلبات الأطراف المعنية وعملياتها وطلبيات العملاء وتقييمها وترتيب أولوياتها، وكيفية تخطيط الإجراءات وتنفيذها والتحقق من فعاليتها، بما يتوافق مع ISO 9001:2015 (البند 6.1)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مخاطر وفرص الأعمال ونظام الإدارة لجميع أقسام EMS وعملياتها، وتحليل المخاطر على مستوى الطلبية (بعد الطلبية) الذي يُجرى لطلبيات العملاء قبل الإنتاج. أما التقييمات التشغيلية التفصيلية (مخاطر الصحة والسلامة المهنية، والجوانب البيئية، والمخاطر الكيميائية، والمخاطر الأمنية) فتُنفذ وفق إجراءاتها الخاصة، وتُنقل نتائجها الهامة إلى هذه العملية.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سجل المخاطر والفرص، ويتخذ القرار بشأن المخاطر المرتفعة، ويوفر الموارد اللازمة للإجراءات.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w:t>
      </w:r>
      <w:r>
        <w:rPr>
          <w:rFonts w:ascii="Calibri" w:hAnsi="Calibri" w:cs="Arial"/>
          <w:rtl/>
          <w:sz w:val="24"/>
          <w:szCs w:val="24"/>
        </w:rPr>
        <w:t xml:space="preserve"> ينسق العملية، ويحتفظ بالسجل، ويتابع الإجراءات، ويرفع التقارير إلى مراجعة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مخاطر عملياتهم وفرصها، ويقترحون الإجراءات وينفذونها، ويبلغون عن حالتها كل ثلاثة أشهر.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تحليل المخاطر بعد الطلبية لطلبيات العملاء ويتحقق من وجود إجراءات الضبط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الصحة والسلامة والبيئة والجودة والمسؤولية الاجتماعية والأمن:</w:t>
      </w:r>
      <w:r>
        <w:rPr>
          <w:rFonts w:ascii="Calibri" w:hAnsi="Calibri" w:cs="Arial"/>
          <w:rtl/>
          <w:sz w:val="24"/>
          <w:szCs w:val="24"/>
        </w:rPr>
        <w:t xml:space="preserve"> ينقلون النتائج الهامة لتقييمات المخاطر المتخصصة إلى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w:t>
      </w:r>
      <w:r>
        <w:rPr>
          <w:rFonts w:ascii="Calibri" w:hAnsi="Calibri" w:cs="Arial"/>
          <w:rtl/>
          <w:sz w:val="24"/>
          <w:szCs w:val="24"/>
        </w:rPr>
        <w:t xml:space="preserve"> أثر عدم اليقين؛ حدث محتمل قد يمنع EMS من تحقيق أهدافها أو نتائجها المرجوة.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الفرصة:</w:t>
      </w:r>
      <w:r>
        <w:rPr>
          <w:rFonts w:ascii="Calibri" w:hAnsi="Calibri" w:cs="Arial"/>
          <w:rtl/>
          <w:sz w:val="24"/>
          <w:szCs w:val="24"/>
        </w:rPr>
        <w:t xml:space="preserve"> وضع يمكن أن يؤدي إلى أداء أفضل أو أعمال جديدة أو توفير في التكاليف أو تحسين.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الاحتمالية:</w:t>
      </w:r>
      <w:r>
        <w:rPr>
          <w:rFonts w:ascii="Calibri" w:hAnsi="Calibri" w:cs="Arial"/>
          <w:rtl/>
          <w:sz w:val="24"/>
          <w:szCs w:val="24"/>
        </w:rPr>
        <w:t xml:space="preserve"> مدى احتمال حدوث الخطر، وتُقيّم من 1 (غير محتمل جدًا) إلى 5 (شبه مؤكد).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الشدة:</w:t>
      </w:r>
      <w:r>
        <w:rPr>
          <w:rFonts w:ascii="Calibri" w:hAnsi="Calibri" w:cs="Arial"/>
          <w:rtl/>
          <w:sz w:val="24"/>
          <w:szCs w:val="24"/>
        </w:rPr>
        <w:t xml:space="preserve"> حجم العاقبة في حال حدوث الخطر، وتُقيّم من 1 (طفيفة) إلى 5 (خطيرة جدًا).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الخطر:</w:t>
      </w:r>
      <w:r>
        <w:rPr>
          <w:rFonts w:ascii="Calibri" w:hAnsi="Calibri" w:cs="Arial"/>
          <w:rtl/>
          <w:sz w:val="24"/>
          <w:szCs w:val="24"/>
        </w:rPr>
        <w:t xml:space="preserve"> الاحتمالية × الشدة، وتُستخدم لترتيب أولويات 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الخطر المتبقي:</w:t>
      </w:r>
      <w:r>
        <w:rPr>
          <w:rFonts w:ascii="Calibri" w:hAnsi="Calibri" w:cs="Arial"/>
          <w:rtl/>
          <w:sz w:val="24"/>
          <w:szCs w:val="24"/>
        </w:rPr>
        <w:t xml:space="preserve"> درجة الخطر التي تبقى بعد تطبيق إجراءات الضبط.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المخاطر بعد الطلبية:</w:t>
      </w:r>
      <w:r>
        <w:rPr>
          <w:rFonts w:ascii="Calibri" w:hAnsi="Calibri" w:cs="Arial"/>
          <w:rtl/>
          <w:sz w:val="24"/>
          <w:szCs w:val="24"/>
        </w:rPr>
        <w:t xml:space="preserve"> تقييم درجات مخاطر الجودة والتسليم والمواد والامتثال لطلبية العميل المقبولة قبل بدء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المخاطر والفرص</w:t>
      </w:r>
    </w:p>
    <w:p>
      <w:pPr>
        <w:pStyle w:val="ListeParagraf"/>
        <w:bidi/>
        <w:spacing w:after="80"/>
        <w:ind w:left="0" w:right="709"/>
        <w:jc w:val="both"/>
      </w:pPr>
      <w:r>
        <w:rPr>
          <w:rFonts w:ascii="Calibri" w:hAnsi="Calibri" w:cs="Arial"/>
          <w:rtl/>
          <w:sz w:val="24"/>
          <w:szCs w:val="24"/>
        </w:rPr>
        <w:t xml:space="preserve">1.1. يحدد كل قسم مخاطره وفرصه مرة واحدة على الأقل سنويًا، مستخدمًا المدخلات التالية:</w:t>
      </w:r>
    </w:p>
    <w:p>
      <w:pPr>
        <w:pStyle w:val="ListeParagraf"/>
        <w:numPr>
          <w:ilvl w:val="0"/>
          <w:numId w:val="1"/>
        </w:numPr>
        <w:bidi/>
        <w:spacing w:after="60"/>
        <w:jc w:val="both"/>
      </w:pPr>
      <w:r>
        <w:rPr>
          <w:rFonts w:ascii="Calibri" w:hAnsi="Calibri" w:cs="Arial"/>
          <w:rtl/>
          <w:sz w:val="24"/>
          <w:szCs w:val="24"/>
        </w:rPr>
        <w:t xml:space="preserve">تحليل السياق وسجل الأطراف المعنية (EMS.YS.PRO.11.03.)،</w:t>
      </w:r>
    </w:p>
    <w:p>
      <w:pPr>
        <w:pStyle w:val="ListeParagraf"/>
        <w:numPr>
          <w:ilvl w:val="0"/>
          <w:numId w:val="1"/>
        </w:numPr>
        <w:bidi/>
        <w:spacing w:after="60"/>
        <w:jc w:val="both"/>
      </w:pPr>
      <w:r>
        <w:rPr>
          <w:rFonts w:ascii="Calibri" w:hAnsi="Calibri" w:cs="Arial"/>
          <w:rtl/>
          <w:sz w:val="24"/>
          <w:szCs w:val="24"/>
        </w:rPr>
        <w:t xml:space="preserve">أداء العمليات ومؤشرات الأداء وشكاوى العملاء وملاحظات التدقيق،</w:t>
      </w:r>
    </w:p>
    <w:p>
      <w:pPr>
        <w:pStyle w:val="ListeParagraf"/>
        <w:numPr>
          <w:ilvl w:val="0"/>
          <w:numId w:val="1"/>
        </w:numPr>
        <w:bidi/>
        <w:spacing w:after="60"/>
        <w:jc w:val="both"/>
      </w:pPr>
      <w:r>
        <w:rPr>
          <w:rFonts w:ascii="Calibri" w:hAnsi="Calibri" w:cs="Arial"/>
          <w:rtl/>
          <w:sz w:val="24"/>
          <w:szCs w:val="24"/>
        </w:rPr>
        <w:t xml:space="preserve">الجوانب البيئية الهامة ومخاطر الصحة والسلامة المهنية وتقييمات المخاطر الكيميائية والأمنية،</w:t>
      </w:r>
    </w:p>
    <w:p>
      <w:pPr>
        <w:pStyle w:val="ListeParagraf"/>
        <w:numPr>
          <w:ilvl w:val="0"/>
          <w:numId w:val="1"/>
        </w:numPr>
        <w:bidi/>
        <w:spacing w:after="60"/>
        <w:jc w:val="both"/>
      </w:pPr>
      <w:r>
        <w:rPr>
          <w:rFonts w:ascii="Calibri" w:hAnsi="Calibri" w:cs="Arial"/>
          <w:rtl/>
          <w:sz w:val="24"/>
          <w:szCs w:val="24"/>
        </w:rPr>
        <w:t xml:space="preserve">التغييرات المخطط لها (عميل أو منتج أو آلة أو عملية أو مبنى أو متطلب قانوني جديد).</w:t>
      </w:r>
    </w:p>
    <w:p>
      <w:pPr>
        <w:pStyle w:val="ListeParagraf"/>
        <w:bidi/>
        <w:spacing w:after="80"/>
        <w:ind w:left="0" w:right="709"/>
        <w:jc w:val="both"/>
      </w:pPr>
      <w:r>
        <w:rPr>
          <w:rFonts w:ascii="Calibri" w:hAnsi="Calibri" w:cs="Arial"/>
          <w:rtl/>
          <w:sz w:val="24"/>
          <w:szCs w:val="24"/>
        </w:rPr>
        <w:t xml:space="preserve">1.2. تشمل المخاطر النموذجية فقدان عميل رئيسي، والتأخر في التسليم، وأخطاء درجة اللون أو الجودة، والإخفاق في اختبارات RSL، وتعطل المرافق الحرجة، ونقص العمال المهرة، ومخالفات الامتثال الاجتماعي، وانسكابات الكيماويات، والاختراقات الأمنية.</w:t>
      </w:r>
    </w:p>
    <w:p>
      <w:pPr>
        <w:pStyle w:val="ListeParagraf"/>
        <w:bidi/>
        <w:spacing w:after="80"/>
        <w:ind w:left="0" w:right="709"/>
        <w:jc w:val="both"/>
      </w:pPr>
      <w:r>
        <w:rPr>
          <w:rFonts w:ascii="Calibri" w:hAnsi="Calibri" w:cs="Arial"/>
          <w:rtl/>
          <w:sz w:val="24"/>
          <w:szCs w:val="24"/>
        </w:rPr>
        <w:t xml:space="preserve">1.3. تشمل الفرص النموذجية أسواقًا جديدة ومنتجات معتمدة (GRS وOCS)، وتوفير الطاقة والمياه، والأتمتة، وتعدد المهارات، وأنظمة التتبع الرقمية.</w:t>
      </w:r>
    </w:p>
    <w:p>
      <w:pPr>
        <w:pStyle w:val="ListeParagraf"/>
        <w:bidi/>
        <w:spacing w:after="80"/>
        <w:ind w:left="0" w:right="709"/>
        <w:jc w:val="both"/>
      </w:pPr>
      <w:r>
        <w:rPr>
          <w:rFonts w:ascii="Calibri" w:hAnsi="Calibri" w:cs="Arial"/>
          <w:rtl/>
          <w:sz w:val="24"/>
          <w:szCs w:val="24"/>
        </w:rPr>
        <w:t xml:space="preserve">1.4. تُسجل المخاطر والفرص في سجل المخاطر والفرص مع العملية والوصف والسبب والأثر وإجراءات الضبط القائمة والمسؤول.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التقييم وترتيب الأولويات</w:t>
      </w:r>
    </w:p>
    <w:p>
      <w:pPr>
        <w:pStyle w:val="ListeParagraf"/>
        <w:bidi/>
        <w:spacing w:after="80"/>
        <w:ind w:left="0" w:right="709"/>
        <w:jc w:val="both"/>
      </w:pPr>
      <w:r>
        <w:rPr>
          <w:rFonts w:ascii="Calibri" w:hAnsi="Calibri" w:cs="Arial"/>
          <w:rtl/>
          <w:sz w:val="24"/>
          <w:szCs w:val="24"/>
        </w:rPr>
        <w:t xml:space="preserve">2.1. تُقيّم درجة كل خطر وفق الاحتمالية (1-5) × الشدة (1-5)، مع مراعاة الضوابط القائمة:</w:t>
      </w:r>
    </w:p>
    <w:p>
      <w:pPr>
        <w:pStyle w:val="ListeParagraf"/>
        <w:numPr>
          <w:ilvl w:val="0"/>
          <w:numId w:val="1"/>
        </w:numPr>
        <w:bidi/>
        <w:spacing w:after="60"/>
        <w:jc w:val="both"/>
      </w:pPr>
      <w:r>
        <w:rPr>
          <w:rFonts w:ascii="Calibri" w:hAnsi="Calibri" w:cs="Arial"/>
          <w:rtl/>
          <w:sz w:val="24"/>
          <w:szCs w:val="24"/>
        </w:rPr>
        <w:t xml:space="preserve">1-6: خطر منخفض – يُراقب ضمن الضوابط القائمة،</w:t>
      </w:r>
    </w:p>
    <w:p>
      <w:pPr>
        <w:pStyle w:val="ListeParagraf"/>
        <w:numPr>
          <w:ilvl w:val="0"/>
          <w:numId w:val="1"/>
        </w:numPr>
        <w:bidi/>
        <w:spacing w:after="60"/>
        <w:jc w:val="both"/>
      </w:pPr>
      <w:r>
        <w:rPr>
          <w:rFonts w:ascii="Calibri" w:hAnsi="Calibri" w:cs="Arial"/>
          <w:rtl/>
          <w:sz w:val="24"/>
          <w:szCs w:val="24"/>
        </w:rPr>
        <w:t xml:space="preserve">8-12: خطر متوسط – تُعد خطة عمل خلال ثلاثة أشهر،</w:t>
      </w:r>
    </w:p>
    <w:p>
      <w:pPr>
        <w:pStyle w:val="ListeParagraf"/>
        <w:numPr>
          <w:ilvl w:val="0"/>
          <w:numId w:val="1"/>
        </w:numPr>
        <w:bidi/>
        <w:spacing w:after="60"/>
        <w:jc w:val="both"/>
      </w:pPr>
      <w:r>
        <w:rPr>
          <w:rFonts w:ascii="Calibri" w:hAnsi="Calibri" w:cs="Arial"/>
          <w:rtl/>
          <w:sz w:val="24"/>
          <w:szCs w:val="24"/>
        </w:rPr>
        <w:t xml:space="preserve">15-25: خطر مرتفع – يُخطط لإجراء فوري ويعتمده المدير العام.</w:t>
      </w:r>
    </w:p>
    <w:p>
      <w:pPr>
        <w:pStyle w:val="ListeParagraf"/>
        <w:bidi/>
        <w:spacing w:after="80"/>
        <w:ind w:left="0" w:right="709"/>
        <w:jc w:val="both"/>
      </w:pPr>
      <w:r>
        <w:rPr>
          <w:rFonts w:ascii="Calibri" w:hAnsi="Calibri" w:cs="Arial"/>
          <w:rtl/>
          <w:sz w:val="24"/>
          <w:szCs w:val="24"/>
        </w:rPr>
        <w:t xml:space="preserve">2.2. تُقيّم الفرص وفق الفائدة المتوقعة والتكلفة وإمكانية التنفيذ (مرتفعة / متوسطة / منخفضة)، وتحدد الإدارة أولوياتها.</w:t>
      </w:r>
    </w:p>
    <w:p>
      <w:pPr>
        <w:pStyle w:val="ListeParagraf"/>
        <w:bidi/>
        <w:spacing w:after="80"/>
        <w:ind w:left="0" w:right="709"/>
        <w:jc w:val="both"/>
      </w:pPr>
      <w:r>
        <w:rPr>
          <w:rFonts w:ascii="Calibri" w:hAnsi="Calibri" w:cs="Arial"/>
          <w:rtl/>
          <w:sz w:val="24"/>
          <w:szCs w:val="24"/>
        </w:rPr>
        <w:t xml:space="preserve">2.3. تُقيّم المخاطر المتعلقة بسلامة المنتج والامتثال الكيميائي ومتطلبات الامتثال الاجتماعي للعملاء دائمًا بدرجة متوسطة على الأقل، ما لم يثبت ضبط موثق خلاف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تحليل المخاطر على مستوى الطلبية (بعد الطلبية)</w:t>
      </w:r>
    </w:p>
    <w:p>
      <w:pPr>
        <w:pStyle w:val="ListeParagraf"/>
        <w:bidi/>
        <w:spacing w:after="80"/>
        <w:ind w:left="0" w:right="709"/>
        <w:jc w:val="both"/>
      </w:pPr>
      <w:r>
        <w:rPr>
          <w:rFonts w:ascii="Calibri" w:hAnsi="Calibri" w:cs="Arial"/>
          <w:rtl/>
          <w:sz w:val="24"/>
          <w:szCs w:val="24"/>
        </w:rPr>
        <w:t xml:space="preserve">3.1. لكل طلبية عميل مقبولة وقبل الإنتاج، يعقد ضمان الجودة اجتماع تحليل المخاطر مع الميرشندايزينغ والتخطيط والإنتاج والمختبر (EMS.ÜR.TL.05.11)، وفق EMS.ÜR.PRO.05.03.</w:t>
      </w:r>
    </w:p>
    <w:p>
      <w:pPr>
        <w:pStyle w:val="ListeParagraf"/>
        <w:bidi/>
        <w:spacing w:after="80"/>
        <w:ind w:left="0" w:right="709"/>
        <w:jc w:val="both"/>
      </w:pPr>
      <w:r>
        <w:rPr>
          <w:rFonts w:ascii="Calibri" w:hAnsi="Calibri" w:cs="Arial"/>
          <w:rtl/>
          <w:sz w:val="24"/>
          <w:szCs w:val="24"/>
        </w:rPr>
        <w:t xml:space="preserve">3.2. تُقيّم مخاطر الجودة والتسليم وتوفر المواد والامتثال والعمليات الجديدة للطلبية بالطريقة نفسها (الاحتمالية × الشدة) وتُسجل في سجل تحليل المخاطر بعد الطلبية (EMS.QA.FRM.00.01).</w:t>
      </w:r>
    </w:p>
    <w:p>
      <w:pPr>
        <w:pStyle w:val="ListeParagraf"/>
        <w:bidi/>
        <w:spacing w:after="80"/>
        <w:ind w:left="0" w:right="709"/>
        <w:jc w:val="both"/>
      </w:pPr>
      <w:r>
        <w:rPr>
          <w:rFonts w:ascii="Calibri" w:hAnsi="Calibri" w:cs="Arial"/>
          <w:rtl/>
          <w:sz w:val="24"/>
          <w:szCs w:val="24"/>
        </w:rPr>
        <w:t xml:space="preserve">3.3. لكل خطر مرتفع يُسجل إجراء الضبط والشخص المسؤول والموعد النهائي في سجل تحليل المخاطر (EMS.QA.FRM.00.02).</w:t>
      </w:r>
    </w:p>
    <w:p>
      <w:pPr>
        <w:pStyle w:val="ListeParagraf"/>
        <w:bidi/>
        <w:spacing w:after="80"/>
        <w:ind w:left="0" w:right="709"/>
        <w:jc w:val="both"/>
      </w:pPr>
      <w:r>
        <w:rPr>
          <w:rFonts w:ascii="Calibri" w:hAnsi="Calibri" w:cs="Arial"/>
          <w:rtl/>
          <w:sz w:val="24"/>
          <w:szCs w:val="24"/>
        </w:rPr>
        <w:t xml:space="preserve">3.4. لا يبدأ إنتاج الطلبية عالية الخطورة قبل اعتماد خطة الإجراءات؛ وتُنقل مخاطر الطلبيات المتكررة الهامة إلى سجل المخاطر والفرص.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تخطيط الإجراءات وتنفيذها</w:t>
      </w:r>
    </w:p>
    <w:p>
      <w:pPr>
        <w:pStyle w:val="ListeParagraf"/>
        <w:bidi/>
        <w:spacing w:after="80"/>
        <w:ind w:left="0" w:right="709"/>
        <w:jc w:val="both"/>
      </w:pPr>
      <w:r>
        <w:rPr>
          <w:rFonts w:ascii="Calibri" w:hAnsi="Calibri" w:cs="Arial"/>
          <w:rtl/>
          <w:sz w:val="24"/>
          <w:szCs w:val="24"/>
        </w:rPr>
        <w:t xml:space="preserve">4.1. بالنسبة للمخاطر المتوسطة والمرتفعة والفرص المختارة، تُحدد الإجراءات في سجل المخاطر والفرص مع الشخص المسؤول والموعد النهائي والموارد المطلوبة.</w:t>
      </w:r>
    </w:p>
    <w:p>
      <w:pPr>
        <w:pStyle w:val="ListeParagraf"/>
        <w:bidi/>
        <w:spacing w:after="80"/>
        <w:ind w:left="0" w:right="709"/>
        <w:jc w:val="both"/>
      </w:pPr>
      <w:r>
        <w:rPr>
          <w:rFonts w:ascii="Calibri" w:hAnsi="Calibri" w:cs="Arial"/>
          <w:rtl/>
          <w:sz w:val="24"/>
          <w:szCs w:val="24"/>
        </w:rPr>
        <w:t xml:space="preserve">4.2. تكون الإجراءات متناسبة مع الأثر المحتمل، وتُدمج في الأهداف والميزانيات والإجراءات وخطط الصيانة أو التدريب حيثما أمكن.</w:t>
      </w:r>
    </w:p>
    <w:p>
      <w:pPr>
        <w:pStyle w:val="ListeParagraf"/>
        <w:bidi/>
        <w:spacing w:after="80"/>
        <w:ind w:left="0" w:right="709"/>
        <w:jc w:val="both"/>
      </w:pPr>
      <w:r>
        <w:rPr>
          <w:rFonts w:ascii="Calibri" w:hAnsi="Calibri" w:cs="Arial"/>
          <w:rtl/>
          <w:sz w:val="24"/>
          <w:szCs w:val="24"/>
        </w:rPr>
        <w:t xml:space="preserve">4.3. تُقيّم مخاطر التغييرات المخطط لها قبل تنفيذها (EMS.İS.PRO.18.17).</w:t>
      </w:r>
    </w:p>
    <w:p>
      <w:pPr>
        <w:pStyle w:val="ListeParagraf"/>
        <w:bidi/>
        <w:spacing w:after="80"/>
        <w:ind w:left="0" w:right="709"/>
        <w:jc w:val="both"/>
      </w:pPr>
      <w:r>
        <w:rPr>
          <w:rFonts w:ascii="Calibri" w:hAnsi="Calibri" w:cs="Arial"/>
          <w:rtl/>
          <w:sz w:val="24"/>
          <w:szCs w:val="24"/>
        </w:rPr>
        <w:t xml:space="preserve">4.4. يبلغ مديرو الأقسام ممثل نظام الإدارة بحالة إجراءاتهم كل ثلاثة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تقييم الفعالية</w:t>
      </w:r>
    </w:p>
    <w:p>
      <w:pPr>
        <w:pStyle w:val="ListeParagraf"/>
        <w:bidi/>
        <w:spacing w:after="80"/>
        <w:ind w:left="0" w:right="709"/>
        <w:jc w:val="both"/>
      </w:pPr>
      <w:r>
        <w:rPr>
          <w:rFonts w:ascii="Calibri" w:hAnsi="Calibri" w:cs="Arial"/>
          <w:rtl/>
          <w:sz w:val="24"/>
          <w:szCs w:val="24"/>
        </w:rPr>
        <w:t xml:space="preserve">5.1. بعد إنجاز الإجراء يُعاد تقييم درجة الخطر؛ ويُعتبر الإجراء فعالًا إذا انخفضت الدرجة المتبقية إلى مستوى مقبول (منخفض، أو متوسط مع تبرير معتمد).</w:t>
      </w:r>
    </w:p>
    <w:p>
      <w:pPr>
        <w:pStyle w:val="ListeParagraf"/>
        <w:bidi/>
        <w:spacing w:after="80"/>
        <w:ind w:left="0" w:right="709"/>
        <w:jc w:val="both"/>
      </w:pPr>
      <w:r>
        <w:rPr>
          <w:rFonts w:ascii="Calibri" w:hAnsi="Calibri" w:cs="Arial"/>
          <w:rtl/>
          <w:sz w:val="24"/>
          <w:szCs w:val="24"/>
        </w:rPr>
        <w:t xml:space="preserve">5.2. إذا لم يكن الإجراء فعالًا، يُحدد إجراء جديد وتُرفع الحالة إلى المدير العام.</w:t>
      </w:r>
    </w:p>
    <w:p>
      <w:pPr>
        <w:pStyle w:val="ListeParagraf"/>
        <w:bidi/>
        <w:spacing w:after="80"/>
        <w:ind w:left="0" w:right="709"/>
        <w:jc w:val="both"/>
      </w:pPr>
      <w:r>
        <w:rPr>
          <w:rFonts w:ascii="Calibri" w:hAnsi="Calibri" w:cs="Arial"/>
          <w:rtl/>
          <w:sz w:val="24"/>
          <w:szCs w:val="24"/>
        </w:rPr>
        <w:t xml:space="preserve">5.3. عند حدوث الخطر (حادث أو شكوى أو عدم مطابقة) يُفتح إجراء تصحيحي وفق EMS.YS.PRO.11.02 ويُحدّث 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المراجعة والتحديث</w:t>
      </w:r>
    </w:p>
    <w:p>
      <w:pPr>
        <w:pStyle w:val="ListeParagraf"/>
        <w:bidi/>
        <w:spacing w:after="80"/>
        <w:ind w:left="0" w:right="709"/>
        <w:jc w:val="both"/>
      </w:pPr>
      <w:r>
        <w:rPr>
          <w:rFonts w:ascii="Calibri" w:hAnsi="Calibri" w:cs="Arial"/>
          <w:rtl/>
          <w:sz w:val="24"/>
          <w:szCs w:val="24"/>
        </w:rPr>
        <w:t xml:space="preserve">6.1. يُراجع السجل مرة واحدة على الأقل سنويًا، وكذلك بعد أي تغيير هام أو حادث أو شكوى عميل أو ملاحظة تدقيق جسيمة.</w:t>
      </w:r>
    </w:p>
    <w:p>
      <w:pPr>
        <w:pStyle w:val="ListeParagraf"/>
        <w:bidi/>
        <w:spacing w:after="80"/>
        <w:ind w:left="0" w:right="709"/>
        <w:jc w:val="both"/>
      </w:pPr>
      <w:r>
        <w:rPr>
          <w:rFonts w:ascii="Calibri" w:hAnsi="Calibri" w:cs="Arial"/>
          <w:rtl/>
          <w:sz w:val="24"/>
          <w:szCs w:val="24"/>
        </w:rPr>
        <w:t xml:space="preserve">6.2. تُعرض حالة المخاطر والفرص والإجراءات كمدخل في مراجعة الإدارة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تُتابع المؤشرات التالية:</w:t>
      </w:r>
    </w:p>
    <w:p>
      <w:pPr>
        <w:pStyle w:val="ListeParagraf"/>
        <w:numPr>
          <w:ilvl w:val="0"/>
          <w:numId w:val="1"/>
        </w:numPr>
        <w:bidi/>
        <w:spacing w:after="60"/>
        <w:jc w:val="both"/>
      </w:pPr>
      <w:r>
        <w:rPr>
          <w:rFonts w:ascii="Calibri" w:hAnsi="Calibri" w:cs="Arial"/>
          <w:rtl/>
          <w:sz w:val="24"/>
          <w:szCs w:val="24"/>
        </w:rPr>
        <w:t xml:space="preserve">عدد المخاطر المرتفعة المفتوحة واتجاهها،</w:t>
      </w:r>
    </w:p>
    <w:p>
      <w:pPr>
        <w:pStyle w:val="ListeParagraf"/>
        <w:numPr>
          <w:ilvl w:val="0"/>
          <w:numId w:val="1"/>
        </w:numPr>
        <w:bidi/>
        <w:spacing w:after="60"/>
        <w:jc w:val="both"/>
      </w:pPr>
      <w:r>
        <w:rPr>
          <w:rFonts w:ascii="Calibri" w:hAnsi="Calibri" w:cs="Arial"/>
          <w:rtl/>
          <w:sz w:val="24"/>
          <w:szCs w:val="24"/>
        </w:rPr>
        <w:t xml:space="preserve">نسبة الإجراءات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نسبة الإجراءات التي ثبتت فعاليتها عند إعادة التقييم،</w:t>
      </w:r>
    </w:p>
    <w:p>
      <w:pPr>
        <w:pStyle w:val="ListeParagraf"/>
        <w:numPr>
          <w:ilvl w:val="0"/>
          <w:numId w:val="1"/>
        </w:numPr>
        <w:bidi/>
        <w:spacing w:after="60"/>
        <w:jc w:val="both"/>
      </w:pPr>
      <w:r>
        <w:rPr>
          <w:rFonts w:ascii="Calibri" w:hAnsi="Calibri" w:cs="Arial"/>
          <w:rtl/>
          <w:sz w:val="24"/>
          <w:szCs w:val="24"/>
        </w:rPr>
        <w:t xml:space="preserve">عدد الفرص التي تم تحقيقها خلال العام،</w:t>
      </w:r>
    </w:p>
    <w:p>
      <w:pPr>
        <w:pStyle w:val="ListeParagraf"/>
        <w:numPr>
          <w:ilvl w:val="0"/>
          <w:numId w:val="1"/>
        </w:numPr>
        <w:bidi/>
        <w:spacing w:after="60"/>
        <w:jc w:val="both"/>
      </w:pPr>
      <w:r>
        <w:rPr>
          <w:rFonts w:ascii="Calibri" w:hAnsi="Calibri" w:cs="Arial"/>
          <w:rtl/>
          <w:sz w:val="24"/>
          <w:szCs w:val="24"/>
        </w:rPr>
        <w:t xml:space="preserve">عدد الطلبيات التي بدأ إنتاجها دون تحليل مخاطر بعد الطلبية (الهدف: 0).</w:t>
      </w:r>
    </w:p>
    <w:p>
      <w:pPr>
        <w:pStyle w:val="ListeParagraf"/>
        <w:bidi/>
        <w:spacing w:after="80"/>
        <w:ind w:left="0" w:right="709"/>
        <w:jc w:val="both"/>
      </w:pPr>
      <w:r>
        <w:rPr>
          <w:rFonts w:ascii="Calibri" w:hAnsi="Calibri" w:cs="Arial"/>
          <w:rtl/>
          <w:sz w:val="24"/>
          <w:szCs w:val="24"/>
        </w:rPr>
        <w:t xml:space="preserve">7.2. تُحدد الأهداف في سياسة الشركة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المخاطر والفرص</w:t>
      </w:r>
    </w:p>
    <w:p>
      <w:pPr>
        <w:pStyle w:val="ListeParagraf"/>
        <w:numPr>
          <w:ilvl w:val="0"/>
          <w:numId w:val="1"/>
        </w:numPr>
        <w:bidi/>
        <w:spacing w:after="60"/>
        <w:jc w:val="both"/>
      </w:pPr>
      <w:r>
        <w:rPr>
          <w:rFonts w:ascii="Calibri" w:hAnsi="Calibri" w:cs="Arial"/>
          <w:rtl/>
          <w:sz w:val="24"/>
          <w:szCs w:val="24"/>
        </w:rPr>
        <w:t xml:space="preserve">قائمة متابعة الإجراءات</w:t>
      </w:r>
    </w:p>
    <w:p>
      <w:pPr>
        <w:pStyle w:val="ListeParagraf"/>
        <w:numPr>
          <w:ilvl w:val="0"/>
          <w:numId w:val="1"/>
        </w:numPr>
        <w:bidi/>
        <w:spacing w:after="60"/>
        <w:jc w:val="both"/>
      </w:pPr>
      <w:r>
        <w:rPr>
          <w:rFonts w:ascii="Calibri" w:hAnsi="Calibri" w:cs="Arial"/>
          <w:rtl/>
          <w:sz w:val="24"/>
          <w:szCs w:val="24"/>
        </w:rPr>
        <w:t xml:space="preserve">EMS.QA.FRM.00.01. سجل تحليل المخاطر بعد الطلبية</w:t>
      </w:r>
    </w:p>
    <w:p>
      <w:pPr>
        <w:pStyle w:val="ListeParagraf"/>
        <w:numPr>
          <w:ilvl w:val="0"/>
          <w:numId w:val="1"/>
        </w:numPr>
        <w:bidi/>
        <w:spacing w:after="60"/>
        <w:jc w:val="both"/>
      </w:pPr>
      <w:r>
        <w:rPr>
          <w:rFonts w:ascii="Calibri" w:hAnsi="Calibri" w:cs="Arial"/>
          <w:rtl/>
          <w:sz w:val="24"/>
          <w:szCs w:val="24"/>
        </w:rPr>
        <w:t xml:space="preserve">EMS.QA.FRM.00.02. سجل تحليل المخاطر</w:t>
      </w:r>
    </w:p>
    <w:p>
      <w:pPr>
        <w:pStyle w:val="ListeParagraf"/>
        <w:numPr>
          <w:ilvl w:val="0"/>
          <w:numId w:val="1"/>
        </w:numPr>
        <w:bidi/>
        <w:spacing w:after="60"/>
        <w:jc w:val="both"/>
      </w:pPr>
      <w:r>
        <w:rPr>
          <w:rFonts w:ascii="Calibri" w:hAnsi="Calibri" w:cs="Arial"/>
          <w:rtl/>
          <w:sz w:val="24"/>
          <w:szCs w:val="24"/>
        </w:rPr>
        <w:t xml:space="preserve">EMS.YS.PRO.11.04 إجراء تحليل المخاطر؛ EMS.ÜR.TL.05.11 تعليمات إدارة اجتماع تحليل المخاطر</w:t>
      </w:r>
    </w:p>
    <w:p>
      <w:pPr>
        <w:pStyle w:val="ListeParagraf"/>
        <w:numPr>
          <w:ilvl w:val="0"/>
          <w:numId w:val="1"/>
        </w:numPr>
        <w:bidi/>
        <w:spacing w:after="60"/>
        <w:jc w:val="both"/>
      </w:pPr>
      <w:r>
        <w:rPr>
          <w:rFonts w:ascii="Calibri" w:hAnsi="Calibri" w:cs="Arial"/>
          <w:rtl/>
          <w:sz w:val="24"/>
          <w:szCs w:val="24"/>
        </w:rPr>
        <w:t xml:space="preserve">EMS.ÜR.PRO.05.03. إجراء مراجعة الطلبية (العقد)</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EMS.YS.PRO.11.05. إجراء مراجعة الإدارة</w:t>
      </w:r>
    </w:p>
    <w:p>
      <w:pPr>
        <w:pStyle w:val="ListeParagraf"/>
        <w:numPr>
          <w:ilvl w:val="0"/>
          <w:numId w:val="1"/>
        </w:numPr>
        <w:bidi/>
        <w:spacing w:after="60"/>
        <w:jc w:val="both"/>
      </w:pPr>
      <w:r>
        <w:rPr>
          <w:rFonts w:ascii="Calibri" w:hAnsi="Calibri" w:cs="Arial"/>
          <w:rtl/>
          <w:sz w:val="24"/>
          <w:szCs w:val="24"/>
        </w:rPr>
        <w:t xml:space="preserve">EMS.ÇV.PRO.19.01. إجراء تقييم الجوانب والآثار البيئية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EMS.İS.PRO.18.17. إجراء إدارة التغيير</w:t>
      </w:r>
    </w:p>
    <w:p>
      <w:pPr>
        <w:pStyle w:val="ListeParagraf"/>
        <w:numPr>
          <w:ilvl w:val="0"/>
          <w:numId w:val="1"/>
        </w:numPr>
        <w:bidi/>
        <w:spacing w:after="60"/>
        <w:jc w:val="both"/>
      </w:pPr>
      <w:r>
        <w:rPr>
          <w:rFonts w:ascii="Calibri" w:hAnsi="Calibri" w:cs="Arial"/>
          <w:rtl/>
          <w:sz w:val="24"/>
          <w:szCs w:val="24"/>
        </w:rPr>
        <w:t xml:space="preserve">EMS.İD.PRO.03.06. إجراء تقييم المخاطر الأمنية وأمن الأفراد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مديري الأقسام ونتائج التدقيق والتغيرات في السياق، ويُعدل الإجراء عند الحاجة. وتُحفظ السجلات لمدة ثلاث سنوات.</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RISKS AND OPPORTUNITIES PROCEDURE</w:t>
          </w:r>
        </w:p>
        <w:p>
          <w:pPr>
            <w:pStyle w:val="GvdeMetni2"/>
            <w:bidi/>
            <w:spacing w:line="276" w:lineRule="auto"/>
            <w:jc w:val="center"/>
          </w:pPr>
          <w:r>
            <w:rPr>
              <w:rFonts w:asciiTheme="minorHAnsi" w:hAnsiTheme="minorHAnsi" w:cs="Arial"/>
              <w:b/>
              <w:bCs/>
              <w:color w:val="000000" w:themeColor="text1"/>
              <w:sz w:val="22"/>
              <w:szCs w:val="22"/>
              <w:rtl/>
            </w:rPr>
            <w:t>إجراء المخاطر والفرص</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EMS.YS.PRO.11.04. RISKS AND OPPORTUNITIES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