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work instruction describes how internal audits are planned, how auditors are selected, how an audit is prepared, conducted and reported, and how findings are followed up and their closure is verified, in order to verify independently that the integrated management system of Eroglu Knitting (EMS) is implemented and effective and conforms to ISO 9001:2015, customer codes of conduct and the company's own requirements.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departments, processes, shifts and management system requirements of EMS, including quality, product safety, occupational health and safety, environment, social compliance and customer-specific requirements. It covers the annual audit programme and plan, auditor assignment, audit preparation, conduct and reporting, finding classification, corrective action follow-up and closure verification. It supports the Internal Audit, Nonconformity and Corrective Action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Owns this instruction, prepares the annual audit programme, assigns auditors, manages the process and verifies the closure of findings.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Factory Manager:</w:t>
      </w:r>
      <w:r>
        <w:rPr>
          <w:rFonts w:ascii="Calibri" w:hAnsi="Calibri" w:cs="Arial"/>
          <w:sz w:val="24"/>
          <w:szCs w:val="24"/>
        </w:rPr>
        <w:t xml:space="preserve"> Approves the audit programme, provides resources and supports the closure of findings.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Lead Auditor:</w:t>
      </w:r>
      <w:r>
        <w:rPr>
          <w:rFonts w:ascii="Calibri" w:hAnsi="Calibri" w:cs="Arial"/>
          <w:sz w:val="24"/>
          <w:szCs w:val="24"/>
        </w:rPr>
        <w:t xml:space="preserve"> Manages the audit team, prepares the audit plan and checklist, leads the opening and closing meetings and issues the report.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Internal Auditor:</w:t>
      </w:r>
      <w:r>
        <w:rPr>
          <w:rFonts w:ascii="Calibri" w:hAnsi="Calibri" w:cs="Arial"/>
          <w:sz w:val="24"/>
          <w:szCs w:val="24"/>
        </w:rPr>
        <w:t xml:space="preserve"> Collects evidence, writes findings objectively and follows them up; does not audit his or her own work.</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Audited Department Supervisor:</w:t>
      </w:r>
      <w:r>
        <w:rPr>
          <w:rFonts w:ascii="Calibri" w:hAnsi="Calibri" w:cs="Arial"/>
          <w:sz w:val="24"/>
          <w:szCs w:val="24"/>
        </w:rPr>
        <w:t xml:space="preserve"> Prepares for the audit, provides information and records, submits the correction and corrective action and closes the findings in time.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Social Compliance Officer:</w:t>
      </w:r>
      <w:r>
        <w:rPr>
          <w:rFonts w:ascii="Calibri" w:hAnsi="Calibri" w:cs="Arial"/>
          <w:sz w:val="24"/>
          <w:szCs w:val="24"/>
        </w:rPr>
        <w:t xml:space="preserve"> Contributes to audits of the code of conduct and compliance subjects.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Human Resources:</w:t>
      </w:r>
      <w:r>
        <w:rPr>
          <w:rFonts w:ascii="Calibri" w:hAnsi="Calibri" w:cs="Arial"/>
          <w:sz w:val="24"/>
          <w:szCs w:val="24"/>
        </w:rPr>
        <w:t xml:space="preserve"> Supports the competence record of auditors in the Competence Matrix.</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Internal Audit:</w:t>
      </w:r>
      <w:r>
        <w:rPr>
          <w:rFonts w:ascii="Calibri" w:hAnsi="Calibri" w:cs="Arial"/>
          <w:sz w:val="24"/>
          <w:szCs w:val="24"/>
        </w:rPr>
        <w:t xml:space="preserve"> A systematic, independent and documented examination carried out by EMS personnel on behalf of the organisation.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Audit Criteria:</w:t>
      </w:r>
      <w:r>
        <w:rPr>
          <w:rFonts w:ascii="Calibri" w:hAnsi="Calibri" w:cs="Arial"/>
          <w:sz w:val="24"/>
          <w:szCs w:val="24"/>
        </w:rPr>
        <w:t xml:space="preserve"> The standards, procedures, instructions and requirements against which evidence is compared.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Audit Evidence:</w:t>
      </w:r>
      <w:r>
        <w:rPr>
          <w:rFonts w:ascii="Calibri" w:hAnsi="Calibri" w:cs="Arial"/>
          <w:sz w:val="24"/>
          <w:szCs w:val="24"/>
        </w:rPr>
        <w:t xml:space="preserve"> Verifiable records, statements of fact or other information relevant to the audit criteria.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Major Nonconformity:</w:t>
      </w:r>
      <w:r>
        <w:rPr>
          <w:rFonts w:ascii="Calibri" w:hAnsi="Calibri" w:cs="Arial"/>
          <w:sz w:val="24"/>
          <w:szCs w:val="24"/>
        </w:rPr>
        <w:t xml:space="preserve"> Complete failure to meet a requirement or a systemic breakdown that may affect product safety, legal compliance or the intended result.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Minor Nonconformity:</w:t>
      </w:r>
      <w:r>
        <w:rPr>
          <w:rFonts w:ascii="Calibri" w:hAnsi="Calibri" w:cs="Arial"/>
          <w:sz w:val="24"/>
          <w:szCs w:val="24"/>
        </w:rPr>
        <w:t xml:space="preserve"> An isolated lapse that does not undermine the system.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Observation / Opportunity for Improvement:</w:t>
      </w:r>
      <w:r>
        <w:rPr>
          <w:rFonts w:ascii="Calibri" w:hAnsi="Calibri" w:cs="Arial"/>
          <w:sz w:val="24"/>
          <w:szCs w:val="24"/>
        </w:rPr>
        <w:t xml:space="preserve"> A finding that is not a nonconformity but shows a risk or a potential for improvement.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Independence:</w:t>
      </w:r>
      <w:r>
        <w:rPr>
          <w:rFonts w:ascii="Calibri" w:hAnsi="Calibri" w:cs="Arial"/>
          <w:sz w:val="24"/>
          <w:szCs w:val="24"/>
        </w:rPr>
        <w:t xml:space="preserve"> The auditor does not audit the activity he or she works in or is responsible for.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Audit Programme:</w:t>
      </w:r>
      <w:r>
        <w:rPr>
          <w:rFonts w:ascii="Calibri" w:hAnsi="Calibri" w:cs="Arial"/>
          <w:sz w:val="24"/>
          <w:szCs w:val="24"/>
        </w:rPr>
        <w:t xml:space="preserve"> The set of audits planned for a defined period (form FRM-IDN-01).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ANNUAL AUDIT PROGRAMME AND AUDITOR ASSIGNMENT</w:t>
      </w:r>
    </w:p>
    <w:p>
      <w:pPr>
        <w:pStyle w:val="ListeParagraf"/>
        <w:spacing w:after="80"/>
        <w:ind w:left="709" w:right="0"/>
        <w:jc w:val="both"/>
      </w:pPr>
      <w:r>
        <w:rPr>
          <w:rFonts w:ascii="Calibri" w:hAnsi="Calibri" w:cs="Arial"/>
          <w:sz w:val="24"/>
          <w:szCs w:val="24"/>
        </w:rPr>
        <w:t xml:space="preserve">1.1. The Quality Assurance Manager prepares the Annual Internal Audit Plan (FRM-IDN-01) at the beginning of the year, based on the importance of the processes, previous audit results, risks, changes, complaints and customer findings (TLM-IDN-01).</w:t>
      </w:r>
    </w:p>
    <w:p>
      <w:pPr>
        <w:pStyle w:val="ListeParagraf"/>
        <w:spacing w:after="80"/>
        <w:ind w:left="709" w:right="0"/>
        <w:jc w:val="both"/>
      </w:pPr>
      <w:r>
        <w:rPr>
          <w:rFonts w:ascii="Calibri" w:hAnsi="Calibri" w:cs="Arial"/>
          <w:sz w:val="24"/>
          <w:szCs w:val="24"/>
        </w:rPr>
        <w:t xml:space="preserve">1.2. Every department and every clause of ISO 9001 is audited at least once a year; high-risk processes (yarn, chemicals, metal control, social compliance) are audited more often.</w:t>
      </w:r>
    </w:p>
    <w:p>
      <w:pPr>
        <w:pStyle w:val="ListeParagraf"/>
        <w:spacing w:after="80"/>
        <w:ind w:left="709" w:right="0"/>
        <w:jc w:val="both"/>
      </w:pPr>
      <w:r>
        <w:rPr>
          <w:rFonts w:ascii="Calibri" w:hAnsi="Calibri" w:cs="Arial"/>
          <w:sz w:val="24"/>
          <w:szCs w:val="24"/>
        </w:rPr>
        <w:t xml:space="preserve">1.3. An unplanned audit is added after a major change, a serious complaint, a major nonconformity or a customer or certification body finding.</w:t>
      </w:r>
    </w:p>
    <w:p>
      <w:pPr>
        <w:pStyle w:val="ListeParagraf"/>
        <w:spacing w:after="80"/>
        <w:ind w:left="709" w:right="0"/>
        <w:jc w:val="both"/>
      </w:pPr>
      <w:r>
        <w:rPr>
          <w:rFonts w:ascii="Calibri" w:hAnsi="Calibri" w:cs="Arial"/>
          <w:sz w:val="24"/>
          <w:szCs w:val="24"/>
        </w:rPr>
        <w:t xml:space="preserve">1.4. The Factory Manager approves the programme and it is announced to the departments.</w:t>
      </w:r>
    </w:p>
    <w:p>
      <w:pPr>
        <w:pStyle w:val="ListeParagraf"/>
        <w:spacing w:after="80"/>
        <w:ind w:left="709" w:right="0"/>
        <w:jc w:val="both"/>
      </w:pPr>
      <w:r>
        <w:rPr>
          <w:rFonts w:ascii="Calibri" w:hAnsi="Calibri" w:cs="Arial"/>
          <w:sz w:val="24"/>
          <w:szCs w:val="24"/>
        </w:rPr>
        <w:t xml:space="preserve">1.5. Auditors are persons trained in ISO 9001 and ISO 19011 whose competence is verified in the Competence Matrix; a target of at least 4 competent auditors is kept.</w:t>
      </w:r>
    </w:p>
    <w:p>
      <w:pPr>
        <w:pStyle w:val="ListeParagraf"/>
        <w:spacing w:after="80"/>
        <w:ind w:left="709" w:right="0"/>
        <w:jc w:val="both"/>
      </w:pPr>
      <w:r>
        <w:rPr>
          <w:rFonts w:ascii="Calibri" w:hAnsi="Calibri" w:cs="Arial"/>
          <w:sz w:val="24"/>
          <w:szCs w:val="24"/>
        </w:rPr>
        <w:t xml:space="preserve">1.6. An auditor does not audit his or her own department; independence and impartiality are kept, and the audit team is set according to the size of the department and the time required.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AUDIT PREPARATION</w:t>
      </w:r>
    </w:p>
    <w:p>
      <w:pPr>
        <w:pStyle w:val="ListeParagraf"/>
        <w:spacing w:after="80"/>
        <w:ind w:left="709" w:right="0"/>
        <w:jc w:val="both"/>
      </w:pPr>
      <w:r>
        <w:rPr>
          <w:rFonts w:ascii="Calibri" w:hAnsi="Calibri" w:cs="Arial"/>
          <w:sz w:val="24"/>
          <w:szCs w:val="24"/>
        </w:rPr>
        <w:t xml:space="preserve">2.1. The Lead Auditor reviews the audit criteria, previous findings, open CAPA, the process documents and customer findings.</w:t>
      </w:r>
    </w:p>
    <w:p>
      <w:pPr>
        <w:pStyle w:val="ListeParagraf"/>
        <w:spacing w:after="80"/>
        <w:ind w:left="709" w:right="0"/>
        <w:jc w:val="both"/>
      </w:pPr>
      <w:r>
        <w:rPr>
          <w:rFonts w:ascii="Calibri" w:hAnsi="Calibri" w:cs="Arial"/>
          <w:sz w:val="24"/>
          <w:szCs w:val="24"/>
        </w:rPr>
        <w:t xml:space="preserve">2.2. The audit plan and a risk-based checklist are prepared clause by clause and by process, including customer requirements and open actions.</w:t>
      </w:r>
    </w:p>
    <w:p>
      <w:pPr>
        <w:pStyle w:val="ListeParagraf"/>
        <w:spacing w:after="80"/>
        <w:ind w:left="709" w:right="0"/>
        <w:jc w:val="both"/>
      </w:pPr>
      <w:r>
        <w:rPr>
          <w:rFonts w:ascii="Calibri" w:hAnsi="Calibri" w:cs="Arial"/>
          <w:sz w:val="24"/>
          <w:szCs w:val="24"/>
        </w:rPr>
        <w:t xml:space="preserve">2.3. The audited department is informed of the date, scope and team at least 5 working days before the audit.</w:t>
      </w:r>
    </w:p>
    <w:p>
      <w:pPr>
        <w:pStyle w:val="ListeParagraf"/>
        <w:spacing w:after="80"/>
        <w:ind w:left="709" w:right="0"/>
        <w:jc w:val="both"/>
      </w:pPr>
      <w:r>
        <w:rPr>
          <w:rFonts w:ascii="Calibri" w:hAnsi="Calibri" w:cs="Arial"/>
          <w:sz w:val="24"/>
          <w:szCs w:val="24"/>
        </w:rPr>
        <w:t xml:space="preserve">2.4. The auditor team agrees the sampling method and the records to be examined before starting.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CONDUCTING THE AUDIT</w:t>
      </w:r>
    </w:p>
    <w:p>
      <w:pPr>
        <w:pStyle w:val="ListeParagraf"/>
        <w:spacing w:after="80"/>
        <w:ind w:left="709" w:right="0"/>
        <w:jc w:val="both"/>
      </w:pPr>
      <w:r>
        <w:rPr>
          <w:rFonts w:ascii="Calibri" w:hAnsi="Calibri" w:cs="Arial"/>
          <w:sz w:val="24"/>
          <w:szCs w:val="24"/>
        </w:rPr>
        <w:t xml:space="preserve">3.1. The audit starts with an opening meeting in which purpose, scope, method, timetable and confidentiality are shared.</w:t>
      </w:r>
    </w:p>
    <w:p>
      <w:pPr>
        <w:pStyle w:val="ListeParagraf"/>
        <w:spacing w:after="80"/>
        <w:ind w:left="709" w:right="0"/>
        <w:jc w:val="both"/>
      </w:pPr>
      <w:r>
        <w:rPr>
          <w:rFonts w:ascii="Calibri" w:hAnsi="Calibri" w:cs="Arial"/>
          <w:sz w:val="24"/>
          <w:szCs w:val="24"/>
        </w:rPr>
        <w:t xml:space="preserve">3.2. Evidence is collected by interview, examination of documents and records, observation of the work and sampling (TLM-IDN-02); only verifiable information is accepted as evidence.</w:t>
      </w:r>
    </w:p>
    <w:p>
      <w:pPr>
        <w:pStyle w:val="ListeParagraf"/>
        <w:spacing w:after="80"/>
        <w:ind w:left="709" w:right="0"/>
        <w:jc w:val="both"/>
      </w:pPr>
      <w:r>
        <w:rPr>
          <w:rFonts w:ascii="Calibri" w:hAnsi="Calibri" w:cs="Arial"/>
          <w:sz w:val="24"/>
          <w:szCs w:val="24"/>
        </w:rPr>
        <w:t xml:space="preserve">3.3. The auditor checks that the people know the quality policy and the instructions of their job, that records are complete and that the work is done as written.</w:t>
      </w:r>
    </w:p>
    <w:p>
      <w:pPr>
        <w:pStyle w:val="ListeParagraf"/>
        <w:spacing w:after="80"/>
        <w:ind w:left="709" w:right="0"/>
        <w:jc w:val="both"/>
      </w:pPr>
      <w:r>
        <w:rPr>
          <w:rFonts w:ascii="Calibri" w:hAnsi="Calibri" w:cs="Arial"/>
          <w:sz w:val="24"/>
          <w:szCs w:val="24"/>
        </w:rPr>
        <w:t xml:space="preserve">3.4. Each finding is written factually with the situation, the criterion (clause or document), the evidence and the effect, in a form that the audited person can understand.</w:t>
      </w:r>
    </w:p>
    <w:p>
      <w:pPr>
        <w:pStyle w:val="ListeParagraf"/>
        <w:spacing w:after="80"/>
        <w:ind w:left="709" w:right="0"/>
        <w:jc w:val="both"/>
      </w:pPr>
      <w:r>
        <w:rPr>
          <w:rFonts w:ascii="Calibri" w:hAnsi="Calibri" w:cs="Arial"/>
          <w:sz w:val="24"/>
          <w:szCs w:val="24"/>
        </w:rPr>
        <w:t xml:space="preserve">3.5. Findings are classified as major nonconformity, minor nonconformity or observation; good practices are also recorded.</w:t>
      </w:r>
    </w:p>
    <w:p>
      <w:pPr>
        <w:pStyle w:val="ListeParagraf"/>
        <w:spacing w:after="80"/>
        <w:ind w:left="709" w:right="0"/>
        <w:jc w:val="both"/>
      </w:pPr>
      <w:r>
        <w:rPr>
          <w:rFonts w:ascii="Calibri" w:hAnsi="Calibri" w:cs="Arial"/>
          <w:sz w:val="24"/>
          <w:szCs w:val="24"/>
        </w:rPr>
        <w:t xml:space="preserve">3.6. The audit ends with a closing meeting at which all findings are clarified with the audited department and recorded.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REPORTING</w:t>
      </w:r>
    </w:p>
    <w:p>
      <w:pPr>
        <w:pStyle w:val="ListeParagraf"/>
        <w:spacing w:after="80"/>
        <w:ind w:left="709" w:right="0"/>
        <w:jc w:val="both"/>
      </w:pPr>
      <w:r>
        <w:rPr>
          <w:rFonts w:ascii="Calibri" w:hAnsi="Calibri" w:cs="Arial"/>
          <w:sz w:val="24"/>
          <w:szCs w:val="24"/>
        </w:rPr>
        <w:t xml:space="preserve">4.1. The Internal Audit Report (FRM-IDN-02) is issued within 5 working days of the audit and contains scope, conclusion, strengths and findings.</w:t>
      </w:r>
    </w:p>
    <w:p>
      <w:pPr>
        <w:pStyle w:val="ListeParagraf"/>
        <w:spacing w:after="80"/>
        <w:ind w:left="709" w:right="0"/>
        <w:jc w:val="both"/>
      </w:pPr>
      <w:r>
        <w:rPr>
          <w:rFonts w:ascii="Calibri" w:hAnsi="Calibri" w:cs="Arial"/>
          <w:sz w:val="24"/>
          <w:szCs w:val="24"/>
        </w:rPr>
        <w:t xml:space="preserve">4.2. The report is sent to the audited department, the Quality Assurance Manager and the Factory Manager.</w:t>
      </w:r>
    </w:p>
    <w:p>
      <w:pPr>
        <w:pStyle w:val="ListeParagraf"/>
        <w:spacing w:after="80"/>
        <w:ind w:left="709" w:right="0"/>
        <w:jc w:val="both"/>
      </w:pPr>
      <w:r>
        <w:rPr>
          <w:rFonts w:ascii="Calibri" w:hAnsi="Calibri" w:cs="Arial"/>
          <w:sz w:val="24"/>
          <w:szCs w:val="24"/>
        </w:rPr>
        <w:t xml:space="preserve">4.3. Findings are followed together with the findings of the site's internal audit and customer findings; the number and status of each finding are kept in one record.</w:t>
      </w:r>
    </w:p>
    <w:p>
      <w:pPr>
        <w:pStyle w:val="ListeParagraf"/>
        <w:spacing w:after="80"/>
        <w:ind w:left="709" w:right="0"/>
        <w:jc w:val="both"/>
      </w:pPr>
      <w:r>
        <w:rPr>
          <w:rFonts w:ascii="Calibri" w:hAnsi="Calibri" w:cs="Arial"/>
          <w:sz w:val="24"/>
          <w:szCs w:val="24"/>
        </w:rPr>
        <w:t xml:space="preserve">4.4. A CAPA is opened for every nonconformity finding.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FINDING FOLLOW-UP AND CLOSURE VERIFICATION</w:t>
      </w:r>
    </w:p>
    <w:p>
      <w:pPr>
        <w:pStyle w:val="ListeParagraf"/>
        <w:spacing w:after="80"/>
        <w:ind w:left="709" w:right="0"/>
        <w:jc w:val="both"/>
      </w:pPr>
      <w:r>
        <w:rPr>
          <w:rFonts w:ascii="Calibri" w:hAnsi="Calibri" w:cs="Arial"/>
          <w:sz w:val="24"/>
          <w:szCs w:val="24"/>
        </w:rPr>
        <w:t xml:space="preserve">5.1. The audited department submits the root cause, correction and corrective action within 10 working days; for a major finding the correction is made within 7 days.</w:t>
      </w:r>
    </w:p>
    <w:p>
      <w:pPr>
        <w:pStyle w:val="ListeParagraf"/>
        <w:spacing w:after="80"/>
        <w:ind w:left="709" w:right="0"/>
        <w:jc w:val="both"/>
      </w:pPr>
      <w:r>
        <w:rPr>
          <w:rFonts w:ascii="Calibri" w:hAnsi="Calibri" w:cs="Arial"/>
          <w:sz w:val="24"/>
          <w:szCs w:val="24"/>
        </w:rPr>
        <w:t xml:space="preserve">5.2. The closure evidence is submitted within the due date; the Quality Assurance Manager reviews the evidence and records it on the Finding Follow-up Form (FRM-IDN-03) (TLM-IDN-03).</w:t>
      </w:r>
    </w:p>
    <w:p>
      <w:pPr>
        <w:pStyle w:val="ListeParagraf"/>
        <w:spacing w:after="80"/>
        <w:ind w:left="709" w:right="0"/>
        <w:jc w:val="both"/>
      </w:pPr>
      <w:r>
        <w:rPr>
          <w:rFonts w:ascii="Calibri" w:hAnsi="Calibri" w:cs="Arial"/>
          <w:sz w:val="24"/>
          <w:szCs w:val="24"/>
        </w:rPr>
        <w:t xml:space="preserve">5.3. Effectiveness is verified at the next audit or at a follow-up audit, for example by checking that the finding has not recurred; an inadequate closure is rejected and returned.</w:t>
      </w:r>
    </w:p>
    <w:p>
      <w:pPr>
        <w:pStyle w:val="ListeParagraf"/>
        <w:spacing w:after="80"/>
        <w:ind w:left="709" w:right="0"/>
        <w:jc w:val="both"/>
      </w:pPr>
      <w:r>
        <w:rPr>
          <w:rFonts w:ascii="Calibri" w:hAnsi="Calibri" w:cs="Arial"/>
          <w:sz w:val="24"/>
          <w:szCs w:val="24"/>
        </w:rPr>
        <w:t xml:space="preserve">5.4. The target closure time is 30 days or less, and 15 days or less for a major finding.</w:t>
      </w:r>
    </w:p>
    <w:p>
      <w:pPr>
        <w:pStyle w:val="ListeParagraf"/>
        <w:spacing w:after="80"/>
        <w:ind w:left="709" w:right="0"/>
        <w:jc w:val="both"/>
      </w:pPr>
      <w:r>
        <w:rPr>
          <w:rFonts w:ascii="Calibri" w:hAnsi="Calibri" w:cs="Arial"/>
          <w:sz w:val="24"/>
          <w:szCs w:val="24"/>
        </w:rPr>
        <w:t xml:space="preserve">5.5. Findings that pass the due date are escalated to the Factory Manager and to the management review.</w:t>
      </w:r>
    </w:p>
    <w:p>
      <w:pPr>
        <w:pStyle w:val="ListeParagraf"/>
        <w:spacing w:after="80"/>
        <w:ind w:left="709" w:right="0"/>
        <w:jc w:val="both"/>
      </w:pPr>
      <w:r>
        <w:rPr>
          <w:rFonts w:ascii="Calibri" w:hAnsi="Calibri" w:cs="Arial"/>
          <w:sz w:val="24"/>
          <w:szCs w:val="24"/>
        </w:rPr>
        <w:t xml:space="preserve">5.6. The effect of the audit programme is evaluated every year, including the rate of repeated findings (target: 5 percent or less) and the findings found by external audits that the internal audit did not find.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RECORDS</w:t>
      </w:r>
    </w:p>
    <w:p>
      <w:pPr>
        <w:pStyle w:val="ListeParagraf"/>
        <w:spacing w:after="80"/>
        <w:ind w:left="709" w:right="0"/>
        <w:jc w:val="both"/>
      </w:pPr>
      <w:r>
        <w:rPr>
          <w:rFonts w:ascii="Calibri" w:hAnsi="Calibri" w:cs="Arial"/>
          <w:sz w:val="24"/>
          <w:szCs w:val="24"/>
        </w:rPr>
        <w:t xml:space="preserve">6.1. The annual plan, the audit plans and checklists, the reports, the findings, the CAPA records and the Finding Follow-up Forms are kept by Quality Assurance.</w:t>
      </w:r>
    </w:p>
    <w:p>
      <w:pPr>
        <w:pStyle w:val="ListeParagraf"/>
        <w:spacing w:after="80"/>
        <w:ind w:left="709" w:right="0"/>
        <w:jc w:val="both"/>
      </w:pPr>
      <w:r>
        <w:rPr>
          <w:rFonts w:ascii="Calibri" w:hAnsi="Calibri" w:cs="Arial"/>
          <w:sz w:val="24"/>
          <w:szCs w:val="24"/>
        </w:rPr>
        <w:t xml:space="preserve">6.2. The auditor competence and training records are kept in the Competence Matrix.</w:t>
      </w:r>
    </w:p>
    <w:p>
      <w:pPr>
        <w:pStyle w:val="ListeParagraf"/>
        <w:spacing w:after="80"/>
        <w:ind w:left="709" w:right="0"/>
        <w:jc w:val="both"/>
      </w:pPr>
      <w:r>
        <w:rPr>
          <w:rFonts w:ascii="Calibri" w:hAnsi="Calibri" w:cs="Arial"/>
          <w:sz w:val="24"/>
          <w:szCs w:val="24"/>
        </w:rPr>
        <w:t xml:space="preserve">6.3. Records are kept for the period defined in the Document and Record Control Procedure and are available to customer and certification audits.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IN CASE OF NONCONFORMITY</w:t>
      </w:r>
    </w:p>
    <w:p>
      <w:pPr>
        <w:pStyle w:val="ListeParagraf"/>
        <w:spacing w:after="80"/>
        <w:ind w:left="709" w:right="0"/>
        <w:jc w:val="both"/>
      </w:pPr>
      <w:r>
        <w:rPr>
          <w:rFonts w:ascii="Calibri" w:hAnsi="Calibri" w:cs="Arial"/>
          <w:sz w:val="24"/>
          <w:szCs w:val="24"/>
        </w:rPr>
        <w:t xml:space="preserve">7.1. For a major finding, the activity at risk is stopped or controlled, and the Department Supervisor and the Quality Assurance Manager are informed the same day.</w:t>
      </w:r>
    </w:p>
    <w:p>
      <w:pPr>
        <w:pStyle w:val="ListeParagraf"/>
        <w:spacing w:after="80"/>
        <w:ind w:left="709" w:right="0"/>
        <w:jc w:val="both"/>
      </w:pPr>
      <w:r>
        <w:rPr>
          <w:rFonts w:ascii="Calibri" w:hAnsi="Calibri" w:cs="Arial"/>
          <w:sz w:val="24"/>
          <w:szCs w:val="24"/>
        </w:rPr>
        <w:t xml:space="preserve">7.2. If a planned audit is not carried out, the reason is recorded and the audit is carried out within 15 days; the programme is revised.</w:t>
      </w:r>
    </w:p>
    <w:p>
      <w:pPr>
        <w:pStyle w:val="ListeParagraf"/>
        <w:spacing w:after="80"/>
        <w:ind w:left="709" w:right="0"/>
        <w:jc w:val="both"/>
      </w:pPr>
      <w:r>
        <w:rPr>
          <w:rFonts w:ascii="Calibri" w:hAnsi="Calibri" w:cs="Arial"/>
          <w:sz w:val="24"/>
          <w:szCs w:val="24"/>
        </w:rPr>
        <w:t xml:space="preserve">7.3. If a finding is not closed in time, a CAPA is opened for the delay and the matter is reported to the Factory Manager.</w:t>
      </w:r>
    </w:p>
    <w:p>
      <w:pPr>
        <w:pStyle w:val="ListeParagraf"/>
        <w:spacing w:after="80"/>
        <w:ind w:left="709" w:right="0"/>
        <w:jc w:val="both"/>
      </w:pPr>
      <w:r>
        <w:rPr>
          <w:rFonts w:ascii="Calibri" w:hAnsi="Calibri" w:cs="Arial"/>
          <w:sz w:val="24"/>
          <w:szCs w:val="24"/>
        </w:rPr>
        <w:t xml:space="preserve">7.4. If an audit is found to be not independent or the auditor is not competent, the audit is repeated by another auditor.</w:t>
      </w:r>
    </w:p>
    <w:p>
      <w:pPr>
        <w:pStyle w:val="ListeParagraf"/>
        <w:spacing w:after="80"/>
        <w:ind w:left="709" w:right="0"/>
        <w:jc w:val="both"/>
      </w:pPr>
      <w:r>
        <w:rPr>
          <w:rFonts w:ascii="Calibri" w:hAnsi="Calibri" w:cs="Arial"/>
          <w:sz w:val="24"/>
          <w:szCs w:val="24"/>
        </w:rPr>
        <w:t xml:space="preserve">7.5. A CAPA is closed only with evidence and verification of effectiveness.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EMS.YS.POL.11.01. Integrated Management System Policy</w:t>
      </w:r>
    </w:p>
    <w:p>
      <w:pPr>
        <w:pStyle w:val="ListeParagraf"/>
        <w:numPr>
          <w:ilvl w:val="0"/>
          <w:numId w:val="1"/>
        </w:numPr>
        <w:spacing w:after="60"/>
        <w:jc w:val="both"/>
      </w:pPr>
      <w:r>
        <w:rPr>
          <w:rFonts w:ascii="Calibri" w:hAnsi="Calibri" w:cs="Arial"/>
          <w:sz w:val="24"/>
          <w:szCs w:val="24"/>
        </w:rPr>
        <w:t xml:space="preserve">EMS.YS.PRO.11.02. Internal Audit, Nonconformity and Corrective Action Procedure</w:t>
      </w:r>
    </w:p>
    <w:p>
      <w:pPr>
        <w:pStyle w:val="ListeParagraf"/>
        <w:numPr>
          <w:ilvl w:val="0"/>
          <w:numId w:val="1"/>
        </w:numPr>
        <w:spacing w:after="60"/>
        <w:jc w:val="both"/>
      </w:pPr>
      <w:r>
        <w:rPr>
          <w:rFonts w:ascii="Calibri" w:hAnsi="Calibri" w:cs="Arial"/>
          <w:sz w:val="24"/>
          <w:szCs w:val="24"/>
        </w:rPr>
        <w:t xml:space="preserve">EMS.YS.PRO.11.01. Document and Record Control Procedure</w:t>
      </w:r>
    </w:p>
    <w:p>
      <w:pPr>
        <w:pStyle w:val="ListeParagraf"/>
        <w:numPr>
          <w:ilvl w:val="0"/>
          <w:numId w:val="1"/>
        </w:numPr>
        <w:spacing w:after="60"/>
        <w:jc w:val="both"/>
      </w:pPr>
      <w:r>
        <w:rPr>
          <w:rFonts w:ascii="Calibri" w:hAnsi="Calibri" w:cs="Arial"/>
          <w:sz w:val="24"/>
          <w:szCs w:val="24"/>
        </w:rPr>
        <w:t xml:space="preserve">EMS.YS.PRO.11.04. Risks and Opportunities Procedure</w:t>
      </w:r>
    </w:p>
    <w:p>
      <w:pPr>
        <w:pStyle w:val="ListeParagraf"/>
        <w:numPr>
          <w:ilvl w:val="0"/>
          <w:numId w:val="1"/>
        </w:numPr>
        <w:spacing w:after="60"/>
        <w:jc w:val="both"/>
      </w:pPr>
      <w:r>
        <w:rPr>
          <w:rFonts w:ascii="Calibri" w:hAnsi="Calibri" w:cs="Arial"/>
          <w:sz w:val="24"/>
          <w:szCs w:val="24"/>
        </w:rPr>
        <w:t xml:space="preserve">EMS.YS.PRO.11.05. Management Review Procedure</w:t>
      </w:r>
    </w:p>
    <w:p>
      <w:pPr>
        <w:pStyle w:val="ListeParagraf"/>
        <w:numPr>
          <w:ilvl w:val="0"/>
          <w:numId w:val="1"/>
        </w:numPr>
        <w:spacing w:after="60"/>
        <w:jc w:val="both"/>
      </w:pPr>
      <w:r>
        <w:rPr>
          <w:rFonts w:ascii="Calibri" w:hAnsi="Calibri" w:cs="Arial"/>
          <w:sz w:val="24"/>
          <w:szCs w:val="24"/>
        </w:rPr>
        <w:t xml:space="preserve">TLM-IDN-01 Audit plan and auditor assignment; TLM-IDN-02 Audit execution and finding write-up; TLM-IDN-03 Finding closure verification</w:t>
      </w:r>
    </w:p>
    <w:p>
      <w:pPr>
        <w:pStyle w:val="ListeParagraf"/>
        <w:numPr>
          <w:ilvl w:val="0"/>
          <w:numId w:val="1"/>
        </w:numPr>
        <w:spacing w:after="60"/>
        <w:jc w:val="both"/>
      </w:pPr>
      <w:r>
        <w:rPr>
          <w:rFonts w:ascii="Calibri" w:hAnsi="Calibri" w:cs="Arial"/>
          <w:sz w:val="24"/>
          <w:szCs w:val="24"/>
        </w:rPr>
        <w:t xml:space="preserve">FRM-IDN-01 Annual Internal Audit Plan; FRM-IDN-02 Internal Audit Report; FRM-IDN-03 Finding Follow-up Form</w:t>
      </w:r>
    </w:p>
    <w:p>
      <w:pPr>
        <w:pStyle w:val="ListeParagraf"/>
        <w:numPr>
          <w:ilvl w:val="0"/>
          <w:numId w:val="1"/>
        </w:numPr>
        <w:spacing w:after="60"/>
        <w:jc w:val="both"/>
      </w:pPr>
      <w:r>
        <w:rPr>
          <w:rFonts w:ascii="Calibri" w:hAnsi="Calibri" w:cs="Arial"/>
          <w:sz w:val="24"/>
          <w:szCs w:val="24"/>
        </w:rPr>
        <w:t xml:space="preserve">Audit checklists, CAPA records and auditor competence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MONITORING</w:t>
      </w:r>
    </w:p>
    <w:p>
      <w:pPr>
        <w:pStyle w:val="ListeParagraf"/>
        <w:spacing w:after="80"/>
        <w:ind w:left="709" w:right="0"/>
        <w:jc w:val="both"/>
      </w:pPr>
      <w:r>
        <w:rPr>
          <w:rFonts w:ascii="Calibri" w:hAnsi="Calibri" w:cs="Arial"/>
          <w:sz w:val="24"/>
          <w:szCs w:val="24"/>
        </w:rPr>
        <w:t xml:space="preserve">The Quality Assurance Manager monitors the completion of planned audits (target: 100 percent), the issue time of audit reports (5 working days or less), the finding closure time, the rate of repeated findings and the number of open findings past the due date (target: zero) every month. The results are reported to the Factory Manager and submitted as input to the management review. This instruction is reviewed every year or after any change of process, standard or customer requirement. Limits and targets are defined in the customer specification and company policy.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تعليمات العمل هذه كيفية تخطيط عمليات التدقيق الداخلي وكيفية اختيار المدققين وكيفية إعداد التدقيق وتنفيذه والإبلاغ عنه وكيفية متابعة الملاحظات والتحقق من إغلاقها، وذلك للتحقق باستقلالية من أن نظام الإدارة المتكامل في شركة إيروغلو للتريكو (EMS) مطبق وفعال ومطابق للمعيار ISO 9001:2015 ومدونات سلوك العملاء ومتطلبات الشركة نفسها.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أقسام EMS وعملياتها ورديّاتها ومتطلبات نظام الإدارة فيها، بما في ذلك الجودة وسلامة المنتج والصحة والسلامة المهنية والبيئة والامتثال الاجتماعي ومتطلبات العملاء الخاصة. وتشمل برنامج التدقيق السنوي وخطته وتعيين المدققين وإعداد التدقيق وتنفيذه والإبلاغ عنه وتصنيف الملاحظات ومتابعة الإجراءات التصحيحية والتحقق من الإغلاق. وهي تدعم إجراء التدقيق الداخلي وعدم المطابقة والإجراء التصحيحي.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يملك هذه التعليمات، ويعد برنامج التدقيق السنوي، ويعيّن المدققين، ويدير العملية، ويتحقق من إغلاق الملاحظات.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المصنع:</w:t>
      </w:r>
      <w:r>
        <w:rPr>
          <w:rFonts w:ascii="Calibri" w:hAnsi="Calibri" w:cs="Arial"/>
          <w:rtl/>
          <w:sz w:val="24"/>
          <w:szCs w:val="24"/>
        </w:rPr>
        <w:t xml:space="preserve"> يعتمد برنامج التدقيق، ويوفر الموارد، ويدعم إغلاق الملاحظات.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المدقق الرئيسي:</w:t>
      </w:r>
      <w:r>
        <w:rPr>
          <w:rFonts w:ascii="Calibri" w:hAnsi="Calibri" w:cs="Arial"/>
          <w:rtl/>
          <w:sz w:val="24"/>
          <w:szCs w:val="24"/>
        </w:rPr>
        <w:t xml:space="preserve"> يدير فريق التدقيق، ويعد خطة التدقيق وقائمة الفحص، ويقود اجتماعي الافتتاح والإغلاق، ويصدر التقرير.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المدقق الداخلي:</w:t>
      </w:r>
      <w:r>
        <w:rPr>
          <w:rFonts w:ascii="Calibri" w:hAnsi="Calibri" w:cs="Arial"/>
          <w:rtl/>
          <w:sz w:val="24"/>
          <w:szCs w:val="24"/>
        </w:rPr>
        <w:t xml:space="preserve"> يجمع الأدلة، ويكتب الملاحظات بموضوعية، ويتابعها؛ ولا يدقق عمله الخاص.</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القسم المدقق:</w:t>
      </w:r>
      <w:r>
        <w:rPr>
          <w:rFonts w:ascii="Calibri" w:hAnsi="Calibri" w:cs="Arial"/>
          <w:rtl/>
          <w:sz w:val="24"/>
          <w:szCs w:val="24"/>
        </w:rPr>
        <w:t xml:space="preserve"> يستعد للتدقيق، ويوفر المعلومات والسجلات، ويقدم التصحيح والإجراء التصحيحي، ويغلق الملاحظات في الوقت المحدد.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الامتثال الاجتماعي:</w:t>
      </w:r>
      <w:r>
        <w:rPr>
          <w:rFonts w:ascii="Calibri" w:hAnsi="Calibri" w:cs="Arial"/>
          <w:rtl/>
          <w:sz w:val="24"/>
          <w:szCs w:val="24"/>
        </w:rPr>
        <w:t xml:space="preserve"> يسهم في تدقيق مدونة السلوك ومواضيع الامتثال.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الموارد البشرية:</w:t>
      </w:r>
      <w:r>
        <w:rPr>
          <w:rFonts w:ascii="Calibri" w:hAnsi="Calibri" w:cs="Arial"/>
          <w:rtl/>
          <w:sz w:val="24"/>
          <w:szCs w:val="24"/>
        </w:rPr>
        <w:t xml:space="preserve"> تدعم سجل كفاءة المدققين في مصفوفة الكفاءة.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التدقيق الداخلي:</w:t>
      </w:r>
      <w:r>
        <w:rPr>
          <w:rFonts w:ascii="Calibri" w:hAnsi="Calibri" w:cs="Arial"/>
          <w:rtl/>
          <w:sz w:val="24"/>
          <w:szCs w:val="24"/>
        </w:rPr>
        <w:t xml:space="preserve"> فحص منهجي ومستقل وموثق يجريه العاملون في EMS نيابة عن المنظمة.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معايير التدقيق:</w:t>
      </w:r>
      <w:r>
        <w:rPr>
          <w:rFonts w:ascii="Calibri" w:hAnsi="Calibri" w:cs="Arial"/>
          <w:rtl/>
          <w:sz w:val="24"/>
          <w:szCs w:val="24"/>
        </w:rPr>
        <w:t xml:space="preserve"> المعايير والإجراءات والتعليمات والمتطلبات التي تُقارن بها الأدلة.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دليل التدقيق:</w:t>
      </w:r>
      <w:r>
        <w:rPr>
          <w:rFonts w:ascii="Calibri" w:hAnsi="Calibri" w:cs="Arial"/>
          <w:rtl/>
          <w:sz w:val="24"/>
          <w:szCs w:val="24"/>
        </w:rPr>
        <w:t xml:space="preserve"> سجلات أو بيانات وقائعية أو معلومات أخرى قابلة للتحقق ومتصلة بمعايير التدقيق.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عدم مطابقة رئيسية:</w:t>
      </w:r>
      <w:r>
        <w:rPr>
          <w:rFonts w:ascii="Calibri" w:hAnsi="Calibri" w:cs="Arial"/>
          <w:rtl/>
          <w:sz w:val="24"/>
          <w:szCs w:val="24"/>
        </w:rPr>
        <w:t xml:space="preserve"> عدم تحقيق متطلب بالكامل أو انهيار منهجي قد يؤثر على سلامة المنتج أو الامتثال القانوني أو النتيجة المقصودة.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عدم مطابقة ثانوية:</w:t>
      </w:r>
      <w:r>
        <w:rPr>
          <w:rFonts w:ascii="Calibri" w:hAnsi="Calibri" w:cs="Arial"/>
          <w:rtl/>
          <w:sz w:val="24"/>
          <w:szCs w:val="24"/>
        </w:rPr>
        <w:t xml:space="preserve"> قصور منفرد لا يقوض النظام.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ملاحظة / فرصة تحسين:</w:t>
      </w:r>
      <w:r>
        <w:rPr>
          <w:rFonts w:ascii="Calibri" w:hAnsi="Calibri" w:cs="Arial"/>
          <w:rtl/>
          <w:sz w:val="24"/>
          <w:szCs w:val="24"/>
        </w:rPr>
        <w:t xml:space="preserve"> ملاحظة ليست عدم مطابقة لكنها تشير إلى خطر أو إمكانية تحسين.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الاستقلالية:</w:t>
      </w:r>
      <w:r>
        <w:rPr>
          <w:rFonts w:ascii="Calibri" w:hAnsi="Calibri" w:cs="Arial"/>
          <w:rtl/>
          <w:sz w:val="24"/>
          <w:szCs w:val="24"/>
        </w:rPr>
        <w:t xml:space="preserve"> عدم تدقيق المدقق للنشاط الذي يعمل فيه أو يتولى مسؤوليته.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برنامج التدقيق:</w:t>
      </w:r>
      <w:r>
        <w:rPr>
          <w:rFonts w:ascii="Calibri" w:hAnsi="Calibri" w:cs="Arial"/>
          <w:rtl/>
          <w:sz w:val="24"/>
          <w:szCs w:val="24"/>
        </w:rPr>
        <w:t xml:space="preserve"> مجموعة عمليات التدقيق المخططة لفترة محددة (النموذج FRM-IDN-01).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برنامج التدقيق السنوي وتعيين المدققين</w:t>
      </w:r>
    </w:p>
    <w:p>
      <w:pPr>
        <w:pStyle w:val="ListeParagraf"/>
        <w:bidi/>
        <w:spacing w:after="80"/>
        <w:ind w:left="0" w:right="709"/>
        <w:jc w:val="both"/>
      </w:pPr>
      <w:r>
        <w:rPr>
          <w:rFonts w:ascii="Calibri" w:hAnsi="Calibri" w:cs="Arial"/>
          <w:rtl/>
          <w:sz w:val="24"/>
          <w:szCs w:val="24"/>
        </w:rPr>
        <w:t xml:space="preserve">1.1. يعد مدير ضمان الجودة خطة التدقيق الداخلي السنوية (FRM-IDN-01) في بداية العام بناءً على أهمية العمليات ونتائج التدقيقات السابقة والمخاطر والتغييرات والشكاوى وملاحظات العملاء (TLM-IDN-01).</w:t>
      </w:r>
    </w:p>
    <w:p>
      <w:pPr>
        <w:pStyle w:val="ListeParagraf"/>
        <w:bidi/>
        <w:spacing w:after="80"/>
        <w:ind w:left="0" w:right="709"/>
        <w:jc w:val="both"/>
      </w:pPr>
      <w:r>
        <w:rPr>
          <w:rFonts w:ascii="Calibri" w:hAnsi="Calibri" w:cs="Arial"/>
          <w:rtl/>
          <w:sz w:val="24"/>
          <w:szCs w:val="24"/>
        </w:rPr>
        <w:t xml:space="preserve">1.2. يُدقق كل قسم وكل بند من ISO 9001 مرة واحدة على الأقل في السنة؛ وتُدقق العمليات عالية الخطورة (الغزل والمواد الكيميائية وفحص المعادن والامتثال الاجتماعي) بشكل أكثر تكرارًا.</w:t>
      </w:r>
    </w:p>
    <w:p>
      <w:pPr>
        <w:pStyle w:val="ListeParagraf"/>
        <w:bidi/>
        <w:spacing w:after="80"/>
        <w:ind w:left="0" w:right="709"/>
        <w:jc w:val="both"/>
      </w:pPr>
      <w:r>
        <w:rPr>
          <w:rFonts w:ascii="Calibri" w:hAnsi="Calibri" w:cs="Arial"/>
          <w:rtl/>
          <w:sz w:val="24"/>
          <w:szCs w:val="24"/>
        </w:rPr>
        <w:t xml:space="preserve">1.3. يُضاف تدقيق غير مخطط بعد تغيير كبير أو شكوى جسيمة أو عدم مطابقة رئيسية أو ملاحظة من عميل أو جهة منح الشهادة.</w:t>
      </w:r>
    </w:p>
    <w:p>
      <w:pPr>
        <w:pStyle w:val="ListeParagraf"/>
        <w:bidi/>
        <w:spacing w:after="80"/>
        <w:ind w:left="0" w:right="709"/>
        <w:jc w:val="both"/>
      </w:pPr>
      <w:r>
        <w:rPr>
          <w:rFonts w:ascii="Calibri" w:hAnsi="Calibri" w:cs="Arial"/>
          <w:rtl/>
          <w:sz w:val="24"/>
          <w:szCs w:val="24"/>
        </w:rPr>
        <w:t xml:space="preserve">1.4. يعتمد مدير المصنع البرنامج ويُعلن للأقسام.</w:t>
      </w:r>
    </w:p>
    <w:p>
      <w:pPr>
        <w:pStyle w:val="ListeParagraf"/>
        <w:bidi/>
        <w:spacing w:after="80"/>
        <w:ind w:left="0" w:right="709"/>
        <w:jc w:val="both"/>
      </w:pPr>
      <w:r>
        <w:rPr>
          <w:rFonts w:ascii="Calibri" w:hAnsi="Calibri" w:cs="Arial"/>
          <w:rtl/>
          <w:sz w:val="24"/>
          <w:szCs w:val="24"/>
        </w:rPr>
        <w:t xml:space="preserve">1.5. المدققون هم أشخاص مدربون على ISO 9001 وISO 19011 وتُتحقق كفاءتهم في مصفوفة الكفاءة؛ ويُحافظ على هدف 4 مدققين مؤهلين على الأقل.</w:t>
      </w:r>
    </w:p>
    <w:p>
      <w:pPr>
        <w:pStyle w:val="ListeParagraf"/>
        <w:bidi/>
        <w:spacing w:after="80"/>
        <w:ind w:left="0" w:right="709"/>
        <w:jc w:val="both"/>
      </w:pPr>
      <w:r>
        <w:rPr>
          <w:rFonts w:ascii="Calibri" w:hAnsi="Calibri" w:cs="Arial"/>
          <w:rtl/>
          <w:sz w:val="24"/>
          <w:szCs w:val="24"/>
        </w:rPr>
        <w:t xml:space="preserve">1.6. لا يدقق المدقق قسمه الخاص؛ وتُراعى الاستقلالية والحياد، ويُحدد فريق التدقيق بحسب حجم القسم والوقت اللازم.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إعداد التدقيق</w:t>
      </w:r>
    </w:p>
    <w:p>
      <w:pPr>
        <w:pStyle w:val="ListeParagraf"/>
        <w:bidi/>
        <w:spacing w:after="80"/>
        <w:ind w:left="0" w:right="709"/>
        <w:jc w:val="both"/>
      </w:pPr>
      <w:r>
        <w:rPr>
          <w:rFonts w:ascii="Calibri" w:hAnsi="Calibri" w:cs="Arial"/>
          <w:rtl/>
          <w:sz w:val="24"/>
          <w:szCs w:val="24"/>
        </w:rPr>
        <w:t xml:space="preserve">2.1. يراجع المدقق الرئيسي معايير التدقيق والملاحظات السابقة والإجراءات التصحيحية المفتوحة ووثائق العملية وملاحظات العملاء.</w:t>
      </w:r>
    </w:p>
    <w:p>
      <w:pPr>
        <w:pStyle w:val="ListeParagraf"/>
        <w:bidi/>
        <w:spacing w:after="80"/>
        <w:ind w:left="0" w:right="709"/>
        <w:jc w:val="both"/>
      </w:pPr>
      <w:r>
        <w:rPr>
          <w:rFonts w:ascii="Calibri" w:hAnsi="Calibri" w:cs="Arial"/>
          <w:rtl/>
          <w:sz w:val="24"/>
          <w:szCs w:val="24"/>
        </w:rPr>
        <w:t xml:space="preserve">2.2. تُعد خطة التدقيق وقائمة فحص قائمة على المخاطر بند ببند وعملية بعملية، تتضمن متطلبات العملاء والإجراءات المفتوحة.</w:t>
      </w:r>
    </w:p>
    <w:p>
      <w:pPr>
        <w:pStyle w:val="ListeParagraf"/>
        <w:bidi/>
        <w:spacing w:after="80"/>
        <w:ind w:left="0" w:right="709"/>
        <w:jc w:val="both"/>
      </w:pPr>
      <w:r>
        <w:rPr>
          <w:rFonts w:ascii="Calibri" w:hAnsi="Calibri" w:cs="Arial"/>
          <w:rtl/>
          <w:sz w:val="24"/>
          <w:szCs w:val="24"/>
        </w:rPr>
        <w:t xml:space="preserve">2.3. يُبلَّغ القسم المدقق بالتاريخ والنطاق والفريق قبل التدقيق بـ5 أيام عمل على الأقل.</w:t>
      </w:r>
    </w:p>
    <w:p>
      <w:pPr>
        <w:pStyle w:val="ListeParagraf"/>
        <w:bidi/>
        <w:spacing w:after="80"/>
        <w:ind w:left="0" w:right="709"/>
        <w:jc w:val="both"/>
      </w:pPr>
      <w:r>
        <w:rPr>
          <w:rFonts w:ascii="Calibri" w:hAnsi="Calibri" w:cs="Arial"/>
          <w:rtl/>
          <w:sz w:val="24"/>
          <w:szCs w:val="24"/>
        </w:rPr>
        <w:t xml:space="preserve">2.4. يتفق فريق المدققين على طريقة أخذ العينات والسجلات المطلوب فحصها قبل البدء.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تنفيذ التدقيق</w:t>
      </w:r>
    </w:p>
    <w:p>
      <w:pPr>
        <w:pStyle w:val="ListeParagraf"/>
        <w:bidi/>
        <w:spacing w:after="80"/>
        <w:ind w:left="0" w:right="709"/>
        <w:jc w:val="both"/>
      </w:pPr>
      <w:r>
        <w:rPr>
          <w:rFonts w:ascii="Calibri" w:hAnsi="Calibri" w:cs="Arial"/>
          <w:rtl/>
          <w:sz w:val="24"/>
          <w:szCs w:val="24"/>
        </w:rPr>
        <w:t xml:space="preserve">3.1. يبدأ التدقيق باجتماع افتتاح تُعرض فيه الغاية والنطاق والطريقة والجدول الزمني والسرية.</w:t>
      </w:r>
    </w:p>
    <w:p>
      <w:pPr>
        <w:pStyle w:val="ListeParagraf"/>
        <w:bidi/>
        <w:spacing w:after="80"/>
        <w:ind w:left="0" w:right="709"/>
        <w:jc w:val="both"/>
      </w:pPr>
      <w:r>
        <w:rPr>
          <w:rFonts w:ascii="Calibri" w:hAnsi="Calibri" w:cs="Arial"/>
          <w:rtl/>
          <w:sz w:val="24"/>
          <w:szCs w:val="24"/>
        </w:rPr>
        <w:t xml:space="preserve">3.2. تُجمع الأدلة بالمقابلة وفحص الوثائق والسجلات وملاحظة العمل وأخذ العينات (TLM-IDN-02)؛ ولا تُقبل كدليل إلا المعلومات القابلة للتحقق.</w:t>
      </w:r>
    </w:p>
    <w:p>
      <w:pPr>
        <w:pStyle w:val="ListeParagraf"/>
        <w:bidi/>
        <w:spacing w:after="80"/>
        <w:ind w:left="0" w:right="709"/>
        <w:jc w:val="both"/>
      </w:pPr>
      <w:r>
        <w:rPr>
          <w:rFonts w:ascii="Calibri" w:hAnsi="Calibri" w:cs="Arial"/>
          <w:rtl/>
          <w:sz w:val="24"/>
          <w:szCs w:val="24"/>
        </w:rPr>
        <w:t xml:space="preserve">3.3. يتحقق المدقق من أن العاملين يعرفون سياسة الجودة وتعليمات عملهم، وأن السجلات مكتملة، وأن العمل يتم كما هو مكتوب.</w:t>
      </w:r>
    </w:p>
    <w:p>
      <w:pPr>
        <w:pStyle w:val="ListeParagraf"/>
        <w:bidi/>
        <w:spacing w:after="80"/>
        <w:ind w:left="0" w:right="709"/>
        <w:jc w:val="both"/>
      </w:pPr>
      <w:r>
        <w:rPr>
          <w:rFonts w:ascii="Calibri" w:hAnsi="Calibri" w:cs="Arial"/>
          <w:rtl/>
          <w:sz w:val="24"/>
          <w:szCs w:val="24"/>
        </w:rPr>
        <w:t xml:space="preserve">3.4. تُكتب كل ملاحظة بشكل وقائعي مع الحالة والمعيار (البند أو الوثيقة) والدليل والأثر، بصيغة يفهمها الشخص المدقق.</w:t>
      </w:r>
    </w:p>
    <w:p>
      <w:pPr>
        <w:pStyle w:val="ListeParagraf"/>
        <w:bidi/>
        <w:spacing w:after="80"/>
        <w:ind w:left="0" w:right="709"/>
        <w:jc w:val="both"/>
      </w:pPr>
      <w:r>
        <w:rPr>
          <w:rFonts w:ascii="Calibri" w:hAnsi="Calibri" w:cs="Arial"/>
          <w:rtl/>
          <w:sz w:val="24"/>
          <w:szCs w:val="24"/>
        </w:rPr>
        <w:t xml:space="preserve">3.5. تُصنف الملاحظات إلى عدم مطابقة رئيسية أو ثانوية أو ملاحظة؛ وتُسجل الممارسات الجيدة أيضًا.</w:t>
      </w:r>
    </w:p>
    <w:p>
      <w:pPr>
        <w:pStyle w:val="ListeParagraf"/>
        <w:bidi/>
        <w:spacing w:after="80"/>
        <w:ind w:left="0" w:right="709"/>
        <w:jc w:val="both"/>
      </w:pPr>
      <w:r>
        <w:rPr>
          <w:rFonts w:ascii="Calibri" w:hAnsi="Calibri" w:cs="Arial"/>
          <w:rtl/>
          <w:sz w:val="24"/>
          <w:szCs w:val="24"/>
        </w:rPr>
        <w:t xml:space="preserve">3.6. ينتهي التدقيق باجتماع إغلاق تُوضح فيه جميع الملاحظات مع القسم المدقق وتُسجل.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الإبلاغ</w:t>
      </w:r>
    </w:p>
    <w:p>
      <w:pPr>
        <w:pStyle w:val="ListeParagraf"/>
        <w:bidi/>
        <w:spacing w:after="80"/>
        <w:ind w:left="0" w:right="709"/>
        <w:jc w:val="both"/>
      </w:pPr>
      <w:r>
        <w:rPr>
          <w:rFonts w:ascii="Calibri" w:hAnsi="Calibri" w:cs="Arial"/>
          <w:rtl/>
          <w:sz w:val="24"/>
          <w:szCs w:val="24"/>
        </w:rPr>
        <w:t xml:space="preserve">4.1. يصدر تقرير التدقيق الداخلي (FRM-IDN-02) خلال 5 أيام عمل من التدقيق ويتضمن النطاق والاستنتاج ونقاط القوة والملاحظات.</w:t>
      </w:r>
    </w:p>
    <w:p>
      <w:pPr>
        <w:pStyle w:val="ListeParagraf"/>
        <w:bidi/>
        <w:spacing w:after="80"/>
        <w:ind w:left="0" w:right="709"/>
        <w:jc w:val="both"/>
      </w:pPr>
      <w:r>
        <w:rPr>
          <w:rFonts w:ascii="Calibri" w:hAnsi="Calibri" w:cs="Arial"/>
          <w:rtl/>
          <w:sz w:val="24"/>
          <w:szCs w:val="24"/>
        </w:rPr>
        <w:t xml:space="preserve">4.2. يُرسل التقرير إلى القسم المدقق ومدير ضمان الجودة ومدير المصنع.</w:t>
      </w:r>
    </w:p>
    <w:p>
      <w:pPr>
        <w:pStyle w:val="ListeParagraf"/>
        <w:bidi/>
        <w:spacing w:after="80"/>
        <w:ind w:left="0" w:right="709"/>
        <w:jc w:val="both"/>
      </w:pPr>
      <w:r>
        <w:rPr>
          <w:rFonts w:ascii="Calibri" w:hAnsi="Calibri" w:cs="Arial"/>
          <w:rtl/>
          <w:sz w:val="24"/>
          <w:szCs w:val="24"/>
        </w:rPr>
        <w:t xml:space="preserve">4.3. تُتابع الملاحظات مع ملاحظات التدقيق الداخلي في الموقع وملاحظات العملاء؛ ويُحفظ رقم كل ملاحظة وحالتها في سجل واحد.</w:t>
      </w:r>
    </w:p>
    <w:p>
      <w:pPr>
        <w:pStyle w:val="ListeParagraf"/>
        <w:bidi/>
        <w:spacing w:after="80"/>
        <w:ind w:left="0" w:right="709"/>
        <w:jc w:val="both"/>
      </w:pPr>
      <w:r>
        <w:rPr>
          <w:rFonts w:ascii="Calibri" w:hAnsi="Calibri" w:cs="Arial"/>
          <w:rtl/>
          <w:sz w:val="24"/>
          <w:szCs w:val="24"/>
        </w:rPr>
        <w:t xml:space="preserve">4.4. يُفتح CAPA لكل ملاحظة عدم مطابقة.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متابعة الملاحظات والتحقق من الإغلاق</w:t>
      </w:r>
    </w:p>
    <w:p>
      <w:pPr>
        <w:pStyle w:val="ListeParagraf"/>
        <w:bidi/>
        <w:spacing w:after="80"/>
        <w:ind w:left="0" w:right="709"/>
        <w:jc w:val="both"/>
      </w:pPr>
      <w:r>
        <w:rPr>
          <w:rFonts w:ascii="Calibri" w:hAnsi="Calibri" w:cs="Arial"/>
          <w:rtl/>
          <w:sz w:val="24"/>
          <w:szCs w:val="24"/>
        </w:rPr>
        <w:t xml:space="preserve">5.1. يقدم القسم المدقق السبب الجذري والتصحيح والإجراء التصحيحي خلال 10 أيام عمل؛ وفي الملاحظة الرئيسية يتم التصحيح خلال 7 أيام.</w:t>
      </w:r>
    </w:p>
    <w:p>
      <w:pPr>
        <w:pStyle w:val="ListeParagraf"/>
        <w:bidi/>
        <w:spacing w:after="80"/>
        <w:ind w:left="0" w:right="709"/>
        <w:jc w:val="both"/>
      </w:pPr>
      <w:r>
        <w:rPr>
          <w:rFonts w:ascii="Calibri" w:hAnsi="Calibri" w:cs="Arial"/>
          <w:rtl/>
          <w:sz w:val="24"/>
          <w:szCs w:val="24"/>
        </w:rPr>
        <w:t xml:space="preserve">5.2. يُقدم دليل الإغلاق ضمن الموعد المحدد؛ ويفحص مدير ضمان الجودة الدليل ويسجله في نموذج متابعة الملاحظات (FRM-IDN-03) (TLM-IDN-03).</w:t>
      </w:r>
    </w:p>
    <w:p>
      <w:pPr>
        <w:pStyle w:val="ListeParagraf"/>
        <w:bidi/>
        <w:spacing w:after="80"/>
        <w:ind w:left="0" w:right="709"/>
        <w:jc w:val="both"/>
      </w:pPr>
      <w:r>
        <w:rPr>
          <w:rFonts w:ascii="Calibri" w:hAnsi="Calibri" w:cs="Arial"/>
          <w:rtl/>
          <w:sz w:val="24"/>
          <w:szCs w:val="24"/>
        </w:rPr>
        <w:t xml:space="preserve">5.3. تُتحقق الفاعلية في التدقيق التالي أو في تدقيق متابعة، مثل التأكد من عدم تكرار الملاحظة؛ ويُرفض الإغلاق غير الكافي ويُعاد.</w:t>
      </w:r>
    </w:p>
    <w:p>
      <w:pPr>
        <w:pStyle w:val="ListeParagraf"/>
        <w:bidi/>
        <w:spacing w:after="80"/>
        <w:ind w:left="0" w:right="709"/>
        <w:jc w:val="both"/>
      </w:pPr>
      <w:r>
        <w:rPr>
          <w:rFonts w:ascii="Calibri" w:hAnsi="Calibri" w:cs="Arial"/>
          <w:rtl/>
          <w:sz w:val="24"/>
          <w:szCs w:val="24"/>
        </w:rPr>
        <w:t xml:space="preserve">5.4. المدة المستهدفة للإغلاق 30 يومًا أو أقل، و15 يومًا أو أقل للملاحظة الرئيسية.</w:t>
      </w:r>
    </w:p>
    <w:p>
      <w:pPr>
        <w:pStyle w:val="ListeParagraf"/>
        <w:bidi/>
        <w:spacing w:after="80"/>
        <w:ind w:left="0" w:right="709"/>
        <w:jc w:val="both"/>
      </w:pPr>
      <w:r>
        <w:rPr>
          <w:rFonts w:ascii="Calibri" w:hAnsi="Calibri" w:cs="Arial"/>
          <w:rtl/>
          <w:sz w:val="24"/>
          <w:szCs w:val="24"/>
        </w:rPr>
        <w:t xml:space="preserve">5.5. تُصعَّد الملاحظات المتجاوزة للموعد إلى مدير المصنع وإلى مراجعة الإدارة.</w:t>
      </w:r>
    </w:p>
    <w:p>
      <w:pPr>
        <w:pStyle w:val="ListeParagraf"/>
        <w:bidi/>
        <w:spacing w:after="80"/>
        <w:ind w:left="0" w:right="709"/>
        <w:jc w:val="both"/>
      </w:pPr>
      <w:r>
        <w:rPr>
          <w:rFonts w:ascii="Calibri" w:hAnsi="Calibri" w:cs="Arial"/>
          <w:rtl/>
          <w:sz w:val="24"/>
          <w:szCs w:val="24"/>
        </w:rPr>
        <w:t xml:space="preserve">5.6. يُقيَّم أثر برنامج التدقيق سنويًا، بما في ذلك نسبة الملاحظات المتكررة (الهدف 5 بالمئة أو أقل) والملاحظات التي كشفتها التدقيقات الخارجية ولم يكشفها التدقيق الداخلي.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السجلات</w:t>
      </w:r>
    </w:p>
    <w:p>
      <w:pPr>
        <w:pStyle w:val="ListeParagraf"/>
        <w:bidi/>
        <w:spacing w:after="80"/>
        <w:ind w:left="0" w:right="709"/>
        <w:jc w:val="both"/>
      </w:pPr>
      <w:r>
        <w:rPr>
          <w:rFonts w:ascii="Calibri" w:hAnsi="Calibri" w:cs="Arial"/>
          <w:rtl/>
          <w:sz w:val="24"/>
          <w:szCs w:val="24"/>
        </w:rPr>
        <w:t xml:space="preserve">6.1. يحتفظ ضمان الجودة بالخطة السنوية وخطط التدقيق وقوائم الفحص والتقارير والملاحظات وسجلات CAPA ونماذج متابعة الملاحظات.</w:t>
      </w:r>
    </w:p>
    <w:p>
      <w:pPr>
        <w:pStyle w:val="ListeParagraf"/>
        <w:bidi/>
        <w:spacing w:after="80"/>
        <w:ind w:left="0" w:right="709"/>
        <w:jc w:val="both"/>
      </w:pPr>
      <w:r>
        <w:rPr>
          <w:rFonts w:ascii="Calibri" w:hAnsi="Calibri" w:cs="Arial"/>
          <w:rtl/>
          <w:sz w:val="24"/>
          <w:szCs w:val="24"/>
        </w:rPr>
        <w:t xml:space="preserve">6.2. تُحفظ سجلات كفاءة المدققين وتدريبهم في مصفوفة الكفاءة.</w:t>
      </w:r>
    </w:p>
    <w:p>
      <w:pPr>
        <w:pStyle w:val="ListeParagraf"/>
        <w:bidi/>
        <w:spacing w:after="80"/>
        <w:ind w:left="0" w:right="709"/>
        <w:jc w:val="both"/>
      </w:pPr>
      <w:r>
        <w:rPr>
          <w:rFonts w:ascii="Calibri" w:hAnsi="Calibri" w:cs="Arial"/>
          <w:rtl/>
          <w:sz w:val="24"/>
          <w:szCs w:val="24"/>
        </w:rPr>
        <w:t xml:space="preserve">6.3. تُحفظ السجلات للمدة المحددة في إجراء ضبط الوثائق والسجلات وتتاح لتدقيق العملاء والتدقيق للشهادات.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في حالة عدم المطابقة</w:t>
      </w:r>
    </w:p>
    <w:p>
      <w:pPr>
        <w:pStyle w:val="ListeParagraf"/>
        <w:bidi/>
        <w:spacing w:after="80"/>
        <w:ind w:left="0" w:right="709"/>
        <w:jc w:val="both"/>
      </w:pPr>
      <w:r>
        <w:rPr>
          <w:rFonts w:ascii="Calibri" w:hAnsi="Calibri" w:cs="Arial"/>
          <w:rtl/>
          <w:sz w:val="24"/>
          <w:szCs w:val="24"/>
        </w:rPr>
        <w:t xml:space="preserve">7.1. في الملاحظة الرئيسية يُوقف النشاط المعرض للخطر أو يُضبط، ويُبلَّغ مشرف القسم ومدير ضمان الجودة في اليوم نفسه.</w:t>
      </w:r>
    </w:p>
    <w:p>
      <w:pPr>
        <w:pStyle w:val="ListeParagraf"/>
        <w:bidi/>
        <w:spacing w:after="80"/>
        <w:ind w:left="0" w:right="709"/>
        <w:jc w:val="both"/>
      </w:pPr>
      <w:r>
        <w:rPr>
          <w:rFonts w:ascii="Calibri" w:hAnsi="Calibri" w:cs="Arial"/>
          <w:rtl/>
          <w:sz w:val="24"/>
          <w:szCs w:val="24"/>
        </w:rPr>
        <w:t xml:space="preserve">7.2. إذا لم يُنفذ تدقيق مخطط يُسجل السبب ويُنفذ التدقيق خلال 15 يومًا ويُعدَّل البرنامج.</w:t>
      </w:r>
    </w:p>
    <w:p>
      <w:pPr>
        <w:pStyle w:val="ListeParagraf"/>
        <w:bidi/>
        <w:spacing w:after="80"/>
        <w:ind w:left="0" w:right="709"/>
        <w:jc w:val="both"/>
      </w:pPr>
      <w:r>
        <w:rPr>
          <w:rFonts w:ascii="Calibri" w:hAnsi="Calibri" w:cs="Arial"/>
          <w:rtl/>
          <w:sz w:val="24"/>
          <w:szCs w:val="24"/>
        </w:rPr>
        <w:t xml:space="preserve">7.3. إذا لم تُغلق ملاحظة في الوقت المحدد يُفتح CAPA للتأخير ويُبلَّغ مدير المصنع.</w:t>
      </w:r>
    </w:p>
    <w:p>
      <w:pPr>
        <w:pStyle w:val="ListeParagraf"/>
        <w:bidi/>
        <w:spacing w:after="80"/>
        <w:ind w:left="0" w:right="709"/>
        <w:jc w:val="both"/>
      </w:pPr>
      <w:r>
        <w:rPr>
          <w:rFonts w:ascii="Calibri" w:hAnsi="Calibri" w:cs="Arial"/>
          <w:rtl/>
          <w:sz w:val="24"/>
          <w:szCs w:val="24"/>
        </w:rPr>
        <w:t xml:space="preserve">7.4. إذا تبين أن التدقيق غير مستقل أو أن المدقق غير مؤهل يُعاد التدقيق بمدقق آخر.</w:t>
      </w:r>
    </w:p>
    <w:p>
      <w:pPr>
        <w:pStyle w:val="ListeParagraf"/>
        <w:bidi/>
        <w:spacing w:after="80"/>
        <w:ind w:left="0" w:right="709"/>
        <w:jc w:val="both"/>
      </w:pPr>
      <w:r>
        <w:rPr>
          <w:rFonts w:ascii="Calibri" w:hAnsi="Calibri" w:cs="Arial"/>
          <w:rtl/>
          <w:sz w:val="24"/>
          <w:szCs w:val="24"/>
        </w:rPr>
        <w:t xml:space="preserve">7.5. لا يُغلق الـCAPA إلا بالدليل والتحقق من الفاعلية.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EMS.YS.POL.11.01. Integrated Management System Policy</w:t>
      </w:r>
    </w:p>
    <w:p>
      <w:pPr>
        <w:pStyle w:val="ListeParagraf"/>
        <w:numPr>
          <w:ilvl w:val="0"/>
          <w:numId w:val="1"/>
        </w:numPr>
        <w:bidi/>
        <w:spacing w:after="60"/>
        <w:jc w:val="both"/>
      </w:pPr>
      <w:r>
        <w:rPr>
          <w:rFonts w:ascii="Calibri" w:hAnsi="Calibri" w:cs="Arial"/>
          <w:rtl/>
          <w:sz w:val="24"/>
          <w:szCs w:val="24"/>
        </w:rPr>
        <w:t xml:space="preserve">EMS.YS.PRO.11.02. Internal Audit, Nonconformity and Corrective Action Procedure</w:t>
      </w:r>
    </w:p>
    <w:p>
      <w:pPr>
        <w:pStyle w:val="ListeParagraf"/>
        <w:numPr>
          <w:ilvl w:val="0"/>
          <w:numId w:val="1"/>
        </w:numPr>
        <w:bidi/>
        <w:spacing w:after="60"/>
        <w:jc w:val="both"/>
      </w:pPr>
      <w:r>
        <w:rPr>
          <w:rFonts w:ascii="Calibri" w:hAnsi="Calibri" w:cs="Arial"/>
          <w:rtl/>
          <w:sz w:val="24"/>
          <w:szCs w:val="24"/>
        </w:rPr>
        <w:t xml:space="preserve">EMS.YS.PRO.11.01. Document and Record Control Procedure</w:t>
      </w:r>
    </w:p>
    <w:p>
      <w:pPr>
        <w:pStyle w:val="ListeParagraf"/>
        <w:numPr>
          <w:ilvl w:val="0"/>
          <w:numId w:val="1"/>
        </w:numPr>
        <w:bidi/>
        <w:spacing w:after="60"/>
        <w:jc w:val="both"/>
      </w:pPr>
      <w:r>
        <w:rPr>
          <w:rFonts w:ascii="Calibri" w:hAnsi="Calibri" w:cs="Arial"/>
          <w:rtl/>
          <w:sz w:val="24"/>
          <w:szCs w:val="24"/>
        </w:rPr>
        <w:t xml:space="preserve">EMS.YS.PRO.11.04. Risks and Opportunities Procedure</w:t>
      </w:r>
    </w:p>
    <w:p>
      <w:pPr>
        <w:pStyle w:val="ListeParagraf"/>
        <w:numPr>
          <w:ilvl w:val="0"/>
          <w:numId w:val="1"/>
        </w:numPr>
        <w:bidi/>
        <w:spacing w:after="60"/>
        <w:jc w:val="both"/>
      </w:pPr>
      <w:r>
        <w:rPr>
          <w:rFonts w:ascii="Calibri" w:hAnsi="Calibri" w:cs="Arial"/>
          <w:rtl/>
          <w:sz w:val="24"/>
          <w:szCs w:val="24"/>
        </w:rPr>
        <w:t xml:space="preserve">EMS.YS.PRO.11.05. Management Review Procedure</w:t>
      </w:r>
    </w:p>
    <w:p>
      <w:pPr>
        <w:pStyle w:val="ListeParagraf"/>
        <w:numPr>
          <w:ilvl w:val="0"/>
          <w:numId w:val="1"/>
        </w:numPr>
        <w:bidi/>
        <w:spacing w:after="60"/>
        <w:jc w:val="both"/>
      </w:pPr>
      <w:r>
        <w:rPr>
          <w:rFonts w:ascii="Calibri" w:hAnsi="Calibri" w:cs="Arial"/>
          <w:rtl/>
          <w:sz w:val="24"/>
          <w:szCs w:val="24"/>
        </w:rPr>
        <w:t xml:space="preserve">TLM-IDN-01 خطة التدقيق وتعيين المدققين؛ TLM-IDN-02 تنفيذ التدقيق وكتابة الملاحظات؛ TLM-IDN-03 التحقق من إغلاق الملاحظات</w:t>
      </w:r>
    </w:p>
    <w:p>
      <w:pPr>
        <w:pStyle w:val="ListeParagraf"/>
        <w:numPr>
          <w:ilvl w:val="0"/>
          <w:numId w:val="1"/>
        </w:numPr>
        <w:bidi/>
        <w:spacing w:after="60"/>
        <w:jc w:val="both"/>
      </w:pPr>
      <w:r>
        <w:rPr>
          <w:rFonts w:ascii="Calibri" w:hAnsi="Calibri" w:cs="Arial"/>
          <w:rtl/>
          <w:sz w:val="24"/>
          <w:szCs w:val="24"/>
        </w:rPr>
        <w:t xml:space="preserve">FRM-IDN-01 خطة التدقيق الداخلي السنوية؛ FRM-IDN-02 تقرير التدقيق الداخلي؛ FRM-IDN-03 نموذج متابعة الملاحظات</w:t>
      </w:r>
    </w:p>
    <w:p>
      <w:pPr>
        <w:pStyle w:val="ListeParagraf"/>
        <w:numPr>
          <w:ilvl w:val="0"/>
          <w:numId w:val="1"/>
        </w:numPr>
        <w:bidi/>
        <w:spacing w:after="60"/>
        <w:jc w:val="both"/>
      </w:pPr>
      <w:r>
        <w:rPr>
          <w:rFonts w:ascii="Calibri" w:hAnsi="Calibri" w:cs="Arial"/>
          <w:rtl/>
          <w:sz w:val="24"/>
          <w:szCs w:val="24"/>
        </w:rPr>
        <w:t xml:space="preserve">قوائم فحص التدقيق وسجلات CAPA وسجلات كفاءة المدققين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ضمان الجودة شهريًا إنجاز عمليات التدقيق المخططة (الهدف 100 بالمئة) ومدة إصدار تقارير التدقيق (5 أيام عمل أو أقل) ومدة إغلاق الملاحظات ونسبة الملاحظات المتكررة وعدد الملاحظات المفتوحة المتجاوزة للموعد (الهدف صفر). وتُرفع النتائج إلى مدير المصنع وتُقدم كمدخل لمراجعة الإدارة. وتُراجع هذه التعليمات سنويًا أو بعد أي تغيير في العملية أو المعيار أو متطلب العميل. وتُحدد الحدود والأهداف في مواصفة العميل وسياسة الشركة.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Kalite Güvence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INTERNAL AUDIT PLANNING, CONDUCT AND CLOSURE VERIFICATION INSTRUCTION</w:t>
          </w:r>
        </w:p>
        <w:p>
          <w:pPr>
            <w:pStyle w:val="GvdeMetni2"/>
            <w:bidi/>
            <w:spacing w:line="276" w:lineRule="auto"/>
            <w:jc w:val="center"/>
          </w:pPr>
          <w:r>
            <w:rPr>
              <w:rFonts w:asciiTheme="minorHAnsi" w:hAnsiTheme="minorHAnsi" w:cs="Arial"/>
              <w:b/>
              <w:bCs/>
              <w:color w:val="000000" w:themeColor="text1"/>
              <w:sz w:val="22"/>
              <w:szCs w:val="22"/>
              <w:rtl/>
            </w:rPr>
            <w:t>تعليمات تخطيط التدقيق الداخلي وتنفيذه والتحقق من الإغلاق</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EMS.YS.TL.11.01.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EMS.YS.TL.11.01. INTERNAL AUDIT PLANNING, CONDUCT AND CLOSURE VERIFICATION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