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ListeParagraf"/>
        <w:spacing w:before="120" w:after="60"/>
        <w:ind w:left="709" w:right="0"/>
      </w:pPr>
      <w:r>
        <w:rPr>
          <w:rFonts w:ascii="Calibri" w:hAnsi="Calibri" w:cs="Arial"/>
          <w:b/>
          <w:bCs/>
          <w:sz w:val="24"/>
          <w:szCs w:val="24"/>
        </w:rPr>
        <w:t xml:space="preserve">PURPOSE</w:t>
      </w:r>
    </w:p>
    <w:p>
      <w:pPr>
        <w:pStyle w:val="ListeParagraf"/>
        <w:spacing w:after="80"/>
        <w:ind w:left="709" w:right="0"/>
        <w:jc w:val="both"/>
      </w:pPr>
      <w:r>
        <w:rPr>
          <w:rFonts w:ascii="Calibri" w:hAnsi="Calibri" w:cs="Arial"/>
          <w:sz w:val="24"/>
          <w:szCs w:val="24"/>
        </w:rPr>
        <w:t xml:space="preserve">This procedure defines how finished goods are divided into lots, how each lot is numbered and labelled, and how lots are linked to cartons and pallets at Eroglu Knitting (EMS), so that every packed garment can be traced to its order, colour, size, shift and date of production and any problem can be isolated quickly to a defined quantity.</w:t>
      </w:r>
    </w:p>
    <w:p>
      <w:pPr>
        <w:pStyle w:val="ListeParagraf"/>
        <w:spacing w:after="80"/>
        <w:ind w:left="709" w:right="0"/>
        <w:jc w:val="both"/>
      </w:pPr>
    </w:p>
    <w:p>
      <w:pPr>
        <w:pStyle w:val="ListeParagraf"/>
        <w:spacing w:before="120" w:after="60"/>
        <w:ind w:left="709" w:right="0"/>
      </w:pPr>
      <w:r>
        <w:rPr>
          <w:rFonts w:ascii="Calibri" w:hAnsi="Calibri" w:cs="Arial"/>
          <w:b/>
          <w:bCs/>
          <w:sz w:val="24"/>
          <w:szCs w:val="24"/>
        </w:rPr>
        <w:t xml:space="preserve">SCOPE</w:t>
      </w:r>
    </w:p>
    <w:p>
      <w:pPr>
        <w:pStyle w:val="ListeParagraf"/>
        <w:spacing w:after="80"/>
        <w:ind w:left="709" w:right="0"/>
        <w:jc w:val="both"/>
      </w:pPr>
      <w:r>
        <w:rPr>
          <w:rFonts w:ascii="Calibri" w:hAnsi="Calibri" w:cs="Arial"/>
          <w:sz w:val="24"/>
          <w:szCs w:val="24"/>
        </w:rPr>
        <w:t xml:space="preserve">This procedure applies to the lotting step (Step 6) between packing and cartoning: lot definition, lot number structure, lot labels, mapping of lots to cartons and pallets, handling of mixed, split, merged and reworked lots, and records. It supports EMS.QA.PRO.02.08 Traceability and Product Recall and the final inspection under EMS.QA.PRO.02.14.</w:t>
      </w:r>
    </w:p>
    <w:p>
      <w:pPr>
        <w:pStyle w:val="ListeParagraf"/>
        <w:spacing w:after="80"/>
        <w:ind w:left="709" w:right="0"/>
        <w:jc w:val="both"/>
      </w:pPr>
    </w:p>
    <w:p>
      <w:pPr>
        <w:pStyle w:val="ListeParagraf"/>
        <w:spacing w:before="120" w:after="60"/>
        <w:ind w:left="709" w:right="0"/>
      </w:pPr>
      <w:r>
        <w:rPr>
          <w:rFonts w:ascii="Calibri" w:hAnsi="Calibri" w:cs="Arial"/>
          <w:b/>
          <w:bCs/>
          <w:sz w:val="24"/>
          <w:szCs w:val="24"/>
        </w:rPr>
        <w:t xml:space="preserve">RESPONSIBILITIES</w:t>
      </w:r>
    </w:p>
    <w:p>
      <w:pPr>
        <w:pStyle w:val="ListeParagraf"/>
        <w:spacing w:after="80"/>
        <w:ind w:left="709" w:right="0"/>
        <w:jc w:val="both"/>
      </w:pPr>
      <w:r>
        <w:rPr>
          <w:rFonts w:ascii="Calibri" w:hAnsi="Calibri" w:cs="Arial"/>
          <w:sz w:val="24"/>
          <w:szCs w:val="24"/>
        </w:rPr>
        <w:t xml:space="preserve">• </w:t>
      </w:r>
      <w:r>
        <w:rPr>
          <w:rFonts w:ascii="Calibri" w:hAnsi="Calibri" w:cs="Arial"/>
          <w:b/>
          <w:bCs/>
          <w:sz w:val="24"/>
          <w:szCs w:val="24"/>
        </w:rPr>
        <w:t xml:space="preserve">Final and Packing Supervisor (Packing Manager):</w:t>
      </w:r>
      <w:r>
        <w:rPr>
          <w:rFonts w:ascii="Calibri" w:hAnsi="Calibri" w:cs="Arial"/>
          <w:sz w:val="24"/>
          <w:szCs w:val="24"/>
        </w:rPr>
        <w:t xml:space="preserve"> Owns this procedure, assigns lot numbers, ensures labels are printed and applied and signs the lot record.</w:t>
      </w:r>
    </w:p>
    <w:p>
      <w:pPr>
        <w:pStyle w:val="ListeParagraf"/>
        <w:spacing w:after="80"/>
        <w:ind w:left="709" w:right="0"/>
        <w:jc w:val="both"/>
      </w:pPr>
      <w:r>
        <w:rPr>
          <w:rFonts w:ascii="Calibri" w:hAnsi="Calibri" w:cs="Arial"/>
          <w:sz w:val="24"/>
          <w:szCs w:val="24"/>
        </w:rPr>
        <w:t xml:space="preserve">• </w:t>
      </w:r>
      <w:r>
        <w:rPr>
          <w:rFonts w:ascii="Calibri" w:hAnsi="Calibri" w:cs="Arial"/>
          <w:b/>
          <w:bCs/>
          <w:sz w:val="24"/>
          <w:szCs w:val="24"/>
        </w:rPr>
        <w:t xml:space="preserve">Lotting Operator:</w:t>
      </w:r>
      <w:r>
        <w:rPr>
          <w:rFonts w:ascii="Calibri" w:hAnsi="Calibri" w:cs="Arial"/>
          <w:sz w:val="24"/>
          <w:szCs w:val="24"/>
        </w:rPr>
        <w:t xml:space="preserve"> Counts, labels and groups packed units by lot and fills in the records.</w:t>
      </w:r>
    </w:p>
    <w:p>
      <w:pPr>
        <w:pStyle w:val="ListeParagraf"/>
        <w:spacing w:after="80"/>
        <w:ind w:left="709" w:right="0"/>
        <w:jc w:val="both"/>
      </w:pPr>
      <w:r>
        <w:rPr>
          <w:rFonts w:ascii="Calibri" w:hAnsi="Calibri" w:cs="Arial"/>
          <w:sz w:val="24"/>
          <w:szCs w:val="24"/>
        </w:rPr>
        <w:t xml:space="preserve">• </w:t>
      </w:r>
      <w:r>
        <w:rPr>
          <w:rFonts w:ascii="Calibri" w:hAnsi="Calibri" w:cs="Arial"/>
          <w:b/>
          <w:bCs/>
          <w:sz w:val="24"/>
          <w:szCs w:val="24"/>
        </w:rPr>
        <w:t xml:space="preserve">Production Planning:</w:t>
      </w:r>
      <w:r>
        <w:rPr>
          <w:rFonts w:ascii="Calibri" w:hAnsi="Calibri" w:cs="Arial"/>
          <w:sz w:val="24"/>
          <w:szCs w:val="24"/>
        </w:rPr>
        <w:t xml:space="preserve"> Provides order number, colour, size and quantity information and keeps the lot number system.</w:t>
      </w:r>
    </w:p>
    <w:p>
      <w:pPr>
        <w:pStyle w:val="ListeParagraf"/>
        <w:spacing w:after="80"/>
        <w:ind w:left="709" w:right="0"/>
        <w:jc w:val="both"/>
      </w:pPr>
      <w:r>
        <w:rPr>
          <w:rFonts w:ascii="Calibri" w:hAnsi="Calibri" w:cs="Arial"/>
          <w:sz w:val="24"/>
          <w:szCs w:val="24"/>
        </w:rPr>
        <w:t xml:space="preserve">• </w:t>
      </w:r>
      <w:r>
        <w:rPr>
          <w:rFonts w:ascii="Calibri" w:hAnsi="Calibri" w:cs="Arial"/>
          <w:b/>
          <w:bCs/>
          <w:sz w:val="24"/>
          <w:szCs w:val="24"/>
        </w:rPr>
        <w:t xml:space="preserve">Final Quality Controller:</w:t>
      </w:r>
      <w:r>
        <w:rPr>
          <w:rFonts w:ascii="Calibri" w:hAnsi="Calibri" w:cs="Arial"/>
          <w:sz w:val="24"/>
          <w:szCs w:val="24"/>
        </w:rPr>
        <w:t xml:space="preserve"> Checks lot labels and the match between lot, carton and packing list at final inspection.</w:t>
      </w:r>
    </w:p>
    <w:p>
      <w:pPr>
        <w:pStyle w:val="ListeParagraf"/>
        <w:spacing w:after="80"/>
        <w:ind w:left="709" w:right="0"/>
        <w:jc w:val="both"/>
      </w:pPr>
      <w:r>
        <w:rPr>
          <w:rFonts w:ascii="Calibri" w:hAnsi="Calibri" w:cs="Arial"/>
          <w:sz w:val="24"/>
          <w:szCs w:val="24"/>
        </w:rPr>
        <w:t xml:space="preserve">• </w:t>
      </w:r>
      <w:r>
        <w:rPr>
          <w:rFonts w:ascii="Calibri" w:hAnsi="Calibri" w:cs="Arial"/>
          <w:b/>
          <w:bCs/>
          <w:sz w:val="24"/>
          <w:szCs w:val="24"/>
        </w:rPr>
        <w:t xml:space="preserve">Quality Assurance Manager:</w:t>
      </w:r>
      <w:r>
        <w:rPr>
          <w:rFonts w:ascii="Calibri" w:hAnsi="Calibri" w:cs="Arial"/>
          <w:sz w:val="24"/>
          <w:szCs w:val="24"/>
        </w:rPr>
        <w:t xml:space="preserve"> Approves lot splitting, merging and rework lot decisions and uses the lot records in recalls and complaints.</w:t>
      </w:r>
    </w:p>
    <w:p>
      <w:pPr>
        <w:pStyle w:val="ListeParagraf"/>
        <w:spacing w:after="80"/>
        <w:ind w:left="709" w:right="0"/>
        <w:jc w:val="both"/>
      </w:pPr>
      <w:r>
        <w:rPr>
          <w:rFonts w:ascii="Calibri" w:hAnsi="Calibri" w:cs="Arial"/>
          <w:sz w:val="24"/>
          <w:szCs w:val="24"/>
        </w:rPr>
        <w:t xml:space="preserve">• </w:t>
      </w:r>
      <w:r>
        <w:rPr>
          <w:rFonts w:ascii="Calibri" w:hAnsi="Calibri" w:cs="Arial"/>
          <w:b/>
          <w:bCs/>
          <w:sz w:val="24"/>
          <w:szCs w:val="24"/>
        </w:rPr>
        <w:t xml:space="preserve">Warehouse and Shipping Officer:</w:t>
      </w:r>
      <w:r>
        <w:rPr>
          <w:rFonts w:ascii="Calibri" w:hAnsi="Calibri" w:cs="Arial"/>
          <w:sz w:val="24"/>
          <w:szCs w:val="24"/>
        </w:rPr>
        <w:t xml:space="preserve"> Accepts pallets only with correct lot labels and records pallet and lot numbers.</w:t>
      </w:r>
    </w:p>
    <w:p>
      <w:pPr>
        <w:pStyle w:val="ListeParagraf"/>
        <w:spacing w:after="80"/>
        <w:ind w:left="709" w:right="0"/>
        <w:jc w:val="both"/>
      </w:pPr>
    </w:p>
    <w:p>
      <w:pPr>
        <w:pStyle w:val="ListeParagraf"/>
        <w:spacing w:before="120" w:after="60"/>
        <w:ind w:left="709" w:right="0"/>
      </w:pPr>
      <w:r>
        <w:rPr>
          <w:rFonts w:ascii="Calibri" w:hAnsi="Calibri" w:cs="Arial"/>
          <w:b/>
          <w:bCs/>
          <w:sz w:val="24"/>
          <w:szCs w:val="24"/>
        </w:rPr>
        <w:t xml:space="preserve">DEFINITIONS</w:t>
      </w:r>
    </w:p>
    <w:p>
      <w:pPr>
        <w:pStyle w:val="ListeParagraf"/>
        <w:spacing w:after="80"/>
        <w:ind w:left="709" w:right="0"/>
        <w:jc w:val="both"/>
      </w:pPr>
      <w:r>
        <w:rPr>
          <w:rFonts w:ascii="Calibri" w:hAnsi="Calibri" w:cs="Arial"/>
          <w:sz w:val="24"/>
          <w:szCs w:val="24"/>
        </w:rPr>
        <w:t xml:space="preserve">• </w:t>
      </w:r>
      <w:r>
        <w:rPr>
          <w:rFonts w:ascii="Calibri" w:hAnsi="Calibri" w:cs="Arial"/>
          <w:b/>
          <w:bCs/>
          <w:sz w:val="24"/>
          <w:szCs w:val="24"/>
        </w:rPr>
        <w:t xml:space="preserve">Finished Goods Lot:</w:t>
      </w:r>
      <w:r>
        <w:rPr>
          <w:rFonts w:ascii="Calibri" w:hAnsi="Calibri" w:cs="Arial"/>
          <w:sz w:val="24"/>
          <w:szCs w:val="24"/>
        </w:rPr>
        <w:t xml:space="preserve"> A defined quantity of garments of the same order, colour and size, produced in the same shift and on the same date, packed and inspected as one group.</w:t>
      </w:r>
    </w:p>
    <w:p>
      <w:pPr>
        <w:pStyle w:val="ListeParagraf"/>
        <w:spacing w:after="80"/>
        <w:ind w:left="709" w:right="0"/>
        <w:jc w:val="both"/>
      </w:pPr>
      <w:r>
        <w:rPr>
          <w:rFonts w:ascii="Calibri" w:hAnsi="Calibri" w:cs="Arial"/>
          <w:sz w:val="24"/>
          <w:szCs w:val="24"/>
        </w:rPr>
        <w:t xml:space="preserve">• </w:t>
      </w:r>
      <w:r>
        <w:rPr>
          <w:rFonts w:ascii="Calibri" w:hAnsi="Calibri" w:cs="Arial"/>
          <w:b/>
          <w:bCs/>
          <w:sz w:val="24"/>
          <w:szCs w:val="24"/>
        </w:rPr>
        <w:t xml:space="preserve">Lot Number:</w:t>
      </w:r>
      <w:r>
        <w:rPr>
          <w:rFonts w:ascii="Calibri" w:hAnsi="Calibri" w:cs="Arial"/>
          <w:sz w:val="24"/>
          <w:szCs w:val="24"/>
        </w:rPr>
        <w:t xml:space="preserve"> The unique identification of the lot built from order, colour, size, shift and date (example: 24-0815-BLK-M-A-141026 = order 24-0815, colour BLK, size M, shift A, 14 October 2026).</w:t>
      </w:r>
    </w:p>
    <w:p>
      <w:pPr>
        <w:pStyle w:val="ListeParagraf"/>
        <w:spacing w:after="80"/>
        <w:ind w:left="709" w:right="0"/>
        <w:jc w:val="both"/>
      </w:pPr>
      <w:r>
        <w:rPr>
          <w:rFonts w:ascii="Calibri" w:hAnsi="Calibri" w:cs="Arial"/>
          <w:sz w:val="24"/>
          <w:szCs w:val="24"/>
        </w:rPr>
        <w:t xml:space="preserve">• </w:t>
      </w:r>
      <w:r>
        <w:rPr>
          <w:rFonts w:ascii="Calibri" w:hAnsi="Calibri" w:cs="Arial"/>
          <w:b/>
          <w:bCs/>
          <w:sz w:val="24"/>
          <w:szCs w:val="24"/>
        </w:rPr>
        <w:t xml:space="preserve">Lot Label:</w:t>
      </w:r>
      <w:r>
        <w:rPr>
          <w:rFonts w:ascii="Calibri" w:hAnsi="Calibri" w:cs="Arial"/>
          <w:sz w:val="24"/>
          <w:szCs w:val="24"/>
        </w:rPr>
        <w:t xml:space="preserve"> The label that shows the lot number, order, colour, size, quantity, date and packer, and a barcode if used.</w:t>
      </w:r>
    </w:p>
    <w:p>
      <w:pPr>
        <w:pStyle w:val="ListeParagraf"/>
        <w:spacing w:after="80"/>
        <w:ind w:left="709" w:right="0"/>
        <w:jc w:val="both"/>
      </w:pPr>
      <w:r>
        <w:rPr>
          <w:rFonts w:ascii="Calibri" w:hAnsi="Calibri" w:cs="Arial"/>
          <w:sz w:val="24"/>
          <w:szCs w:val="24"/>
        </w:rPr>
        <w:t xml:space="preserve">• </w:t>
      </w:r>
      <w:r>
        <w:rPr>
          <w:rFonts w:ascii="Calibri" w:hAnsi="Calibri" w:cs="Arial"/>
          <w:b/>
          <w:bCs/>
          <w:sz w:val="24"/>
          <w:szCs w:val="24"/>
        </w:rPr>
        <w:t xml:space="preserve">Rework Lot:</w:t>
      </w:r>
      <w:r>
        <w:rPr>
          <w:rFonts w:ascii="Calibri" w:hAnsi="Calibri" w:cs="Arial"/>
          <w:sz w:val="24"/>
          <w:szCs w:val="24"/>
        </w:rPr>
        <w:t xml:space="preserve"> A lot that has been sorted or reworked after a nonconformity; its number has the suffix R1, R2.</w:t>
      </w:r>
    </w:p>
    <w:p>
      <w:pPr>
        <w:pStyle w:val="ListeParagraf"/>
        <w:spacing w:after="80"/>
        <w:ind w:left="709" w:right="0"/>
        <w:jc w:val="both"/>
      </w:pPr>
      <w:r>
        <w:rPr>
          <w:rFonts w:ascii="Calibri" w:hAnsi="Calibri" w:cs="Arial"/>
          <w:sz w:val="24"/>
          <w:szCs w:val="24"/>
        </w:rPr>
        <w:t xml:space="preserve">• </w:t>
      </w:r>
      <w:r>
        <w:rPr>
          <w:rFonts w:ascii="Calibri" w:hAnsi="Calibri" w:cs="Arial"/>
          <w:b/>
          <w:bCs/>
          <w:sz w:val="24"/>
          <w:szCs w:val="24"/>
        </w:rPr>
        <w:t xml:space="preserve">Traceability:</w:t>
      </w:r>
      <w:r>
        <w:rPr>
          <w:rFonts w:ascii="Calibri" w:hAnsi="Calibri" w:cs="Arial"/>
          <w:sz w:val="24"/>
          <w:szCs w:val="24"/>
        </w:rPr>
        <w:t xml:space="preserve"> The ability to follow a lot back to its production inputs (yarn lot, cutting, sewing line) and forward to its cartons, pallets and shipment.</w:t>
      </w:r>
    </w:p>
    <w:p>
      <w:pPr>
        <w:pStyle w:val="ListeParagraf"/>
        <w:spacing w:after="80"/>
        <w:ind w:left="709" w:right="0"/>
        <w:jc w:val="both"/>
      </w:pPr>
    </w:p>
    <w:p>
      <w:pPr>
        <w:pStyle w:val="ListeParagraf"/>
        <w:spacing w:before="120" w:after="60"/>
        <w:ind w:left="709" w:right="0"/>
      </w:pPr>
      <w:r>
        <w:rPr>
          <w:rFonts w:ascii="Calibri" w:hAnsi="Calibri" w:cs="Arial"/>
          <w:b/>
          <w:bCs/>
          <w:sz w:val="24"/>
          <w:szCs w:val="24"/>
        </w:rPr>
        <w:t xml:space="preserve">MAIN AND SUB PROCESSES</w:t>
      </w:r>
    </w:p>
    <w:p>
      <w:pPr>
        <w:pStyle w:val="ListeParagraf"/>
        <w:spacing w:before="120" w:after="60"/>
        <w:ind w:left="709" w:right="0"/>
      </w:pPr>
      <w:r>
        <w:rPr>
          <w:rFonts w:ascii="Calibri" w:hAnsi="Calibri" w:cs="Arial"/>
          <w:b/>
          <w:bCs/>
          <w:sz w:val="24"/>
          <w:szCs w:val="24"/>
        </w:rPr>
        <w:t xml:space="preserve">1. LOT DEFINITION AND LOT NUMBER</w:t>
      </w:r>
    </w:p>
    <w:p>
      <w:pPr>
        <w:pStyle w:val="ListeParagraf"/>
        <w:spacing w:after="80"/>
        <w:ind w:left="709" w:right="0"/>
        <w:jc w:val="both"/>
      </w:pPr>
      <w:r>
        <w:rPr>
          <w:rFonts w:ascii="Calibri" w:hAnsi="Calibri" w:cs="Arial"/>
          <w:sz w:val="24"/>
          <w:szCs w:val="24"/>
        </w:rPr>
        <w:t xml:space="preserve">1.1. The sequence is: Quality Inspection (EMS.QA.PRO.02.09), Ironing (EMS.ÜR.PRO.05.10 / EMS.ÜR.TL.05.06), Optical Inspection (EMS.QA.PRO.02.13), Metal Detection (EMS.QA.PRO.02.05), Packing (EMS.ÜR.PRO.05.11), Lotting (this procedure), Cartoning (EMS.SO.PRO.23.07 / EMS.DP.TL.08.04), Final Inspection (EMS.QA.PRO.02.14).</w:t>
      </w:r>
    </w:p>
    <w:p>
      <w:pPr>
        <w:pStyle w:val="ListeParagraf"/>
        <w:spacing w:after="80"/>
        <w:ind w:left="709" w:right="0"/>
        <w:jc w:val="both"/>
      </w:pPr>
      <w:r>
        <w:rPr>
          <w:rFonts w:ascii="Calibri" w:hAnsi="Calibri" w:cs="Arial"/>
          <w:sz w:val="24"/>
          <w:szCs w:val="24"/>
        </w:rPr>
        <w:t xml:space="preserve">1.2. One lot contains garments of only one order, one colour and one size, produced in one shift on one date. Garments of different orders, colours, sizes, shifts or dates are never put in the same lot. The maximum lot size follows the customer specification and company policy (example: 3,200 pieces or one shift production).</w:t>
      </w:r>
    </w:p>
    <w:p>
      <w:pPr>
        <w:pStyle w:val="ListeParagraf"/>
        <w:spacing w:after="80"/>
        <w:ind w:left="709" w:right="0"/>
        <w:jc w:val="both"/>
      </w:pPr>
      <w:r>
        <w:rPr>
          <w:rFonts w:ascii="Calibri" w:hAnsi="Calibri" w:cs="Arial"/>
          <w:sz w:val="24"/>
          <w:szCs w:val="24"/>
        </w:rPr>
        <w:t xml:space="preserve">1.3. The lot number is built in the order: order number, colour code, size code, shift code (A, B, C) and date (DDMMYY), for example 24-0815-BLK-M-A-141026. If the customer requires another lot or batch system, it is used and linked to the EMS lot number in the record.</w:t>
      </w:r>
    </w:p>
    <w:p>
      <w:pPr>
        <w:pStyle w:val="ListeParagraf"/>
        <w:spacing w:after="80"/>
        <w:ind w:left="709" w:right="0"/>
        <w:jc w:val="both"/>
      </w:pPr>
      <w:r>
        <w:rPr>
          <w:rFonts w:ascii="Calibri" w:hAnsi="Calibri" w:cs="Arial"/>
          <w:sz w:val="24"/>
          <w:szCs w:val="24"/>
        </w:rPr>
        <w:t xml:space="preserve">1.4. Each lot number is unique and is never used twice. Lot numbers are assigned by the Final and Packing Supervisor and registered in the Lotting and Lot Label Record Form (EMS.ÜR.FRM.05.10) before labels are printed.</w:t>
      </w:r>
    </w:p>
    <w:p>
      <w:pPr>
        <w:pStyle w:val="ListeParagraf"/>
        <w:spacing w:after="80"/>
        <w:ind w:left="709" w:right="0"/>
        <w:jc w:val="both"/>
      </w:pPr>
    </w:p>
    <w:p>
      <w:pPr>
        <w:pStyle w:val="ListeParagraf"/>
        <w:spacing w:before="120" w:after="60"/>
        <w:ind w:left="709" w:right="0"/>
      </w:pPr>
      <w:r>
        <w:rPr>
          <w:rFonts w:ascii="Calibri" w:hAnsi="Calibri" w:cs="Arial"/>
          <w:b/>
          <w:bCs/>
          <w:sz w:val="24"/>
          <w:szCs w:val="24"/>
        </w:rPr>
        <w:t xml:space="preserve">2. LOT LABEL</w:t>
      </w:r>
    </w:p>
    <w:p>
      <w:pPr>
        <w:pStyle w:val="ListeParagraf"/>
        <w:spacing w:after="80"/>
        <w:ind w:left="709" w:right="0"/>
        <w:jc w:val="both"/>
      </w:pPr>
      <w:r>
        <w:rPr>
          <w:rFonts w:ascii="Calibri" w:hAnsi="Calibri" w:cs="Arial"/>
          <w:sz w:val="24"/>
          <w:szCs w:val="24"/>
        </w:rPr>
        <w:t xml:space="preserve">2.1. The lot label shows at least: lot number, order, customer or style, colour, size, quantity, production date and shift, packer name or code and, where used, a barcode of the lot number. The format is in the Finished Goods Lot Numbering and Labelling Instruction (EMS.ÜR.TL.05.14).</w:t>
      </w:r>
    </w:p>
    <w:p>
      <w:pPr>
        <w:pStyle w:val="ListeParagraf"/>
        <w:spacing w:after="80"/>
        <w:ind w:left="709" w:right="0"/>
        <w:jc w:val="both"/>
      </w:pPr>
      <w:r>
        <w:rPr>
          <w:rFonts w:ascii="Calibri" w:hAnsi="Calibri" w:cs="Arial"/>
          <w:sz w:val="24"/>
          <w:szCs w:val="24"/>
        </w:rPr>
        <w:t xml:space="preserve">2.2. Labels are printed from the lot record only; hand-written labels are allowed only as a controlled backup and are signed.</w:t>
      </w:r>
    </w:p>
    <w:p>
      <w:pPr>
        <w:pStyle w:val="ListeParagraf"/>
        <w:spacing w:after="80"/>
        <w:ind w:left="709" w:right="0"/>
        <w:jc w:val="both"/>
      </w:pPr>
      <w:r>
        <w:rPr>
          <w:rFonts w:ascii="Calibri" w:hAnsi="Calibri" w:cs="Arial"/>
          <w:sz w:val="24"/>
          <w:szCs w:val="24"/>
        </w:rPr>
        <w:t xml:space="preserve">2.3. One label is attached to each lot unit (inner pack bundle or box) and, as required, to each carton in the same position; the label is protected so it cannot fall or be changed.</w:t>
      </w:r>
    </w:p>
    <w:p>
      <w:pPr>
        <w:pStyle w:val="ListeParagraf"/>
        <w:spacing w:after="80"/>
        <w:ind w:left="709" w:right="0"/>
        <w:jc w:val="both"/>
      </w:pPr>
      <w:r>
        <w:rPr>
          <w:rFonts w:ascii="Calibri" w:hAnsi="Calibri" w:cs="Arial"/>
          <w:sz w:val="24"/>
          <w:szCs w:val="24"/>
        </w:rPr>
        <w:t xml:space="preserve">2.4. Old, damaged, or duplicated labels are removed and destroyed under control so that they cannot be reused.</w:t>
      </w:r>
    </w:p>
    <w:p>
      <w:pPr>
        <w:pStyle w:val="ListeParagraf"/>
        <w:spacing w:after="80"/>
        <w:ind w:left="709" w:right="0"/>
        <w:jc w:val="both"/>
      </w:pPr>
    </w:p>
    <w:p>
      <w:pPr>
        <w:pStyle w:val="ListeParagraf"/>
        <w:spacing w:before="120" w:after="60"/>
        <w:ind w:left="709" w:right="0"/>
      </w:pPr>
      <w:r>
        <w:rPr>
          <w:rFonts w:ascii="Calibri" w:hAnsi="Calibri" w:cs="Arial"/>
          <w:b/>
          <w:bCs/>
          <w:sz w:val="24"/>
          <w:szCs w:val="24"/>
        </w:rPr>
        <w:t xml:space="preserve">3. LINKING LOT, CARTON AND PALLET</w:t>
      </w:r>
    </w:p>
    <w:p>
      <w:pPr>
        <w:pStyle w:val="ListeParagraf"/>
        <w:spacing w:after="80"/>
        <w:ind w:left="709" w:right="0"/>
        <w:jc w:val="both"/>
      </w:pPr>
      <w:r>
        <w:rPr>
          <w:rFonts w:ascii="Calibri" w:hAnsi="Calibri" w:cs="Arial"/>
          <w:sz w:val="24"/>
          <w:szCs w:val="24"/>
        </w:rPr>
        <w:t xml:space="preserve">3.1. During cartoning (EMS.SO.PRO.23.07, EMS.DP.TL.08.04) each carton receives its carton number, and the lot number, quantity and assortment of the carton are written in the Lotting and Lot Label Record Form (EMS.ÜR.FRM.05.10) and in the Carton Arrangement and Packing List Control Form (EMS.ÜR.FRM.05.11).</w:t>
      </w:r>
    </w:p>
    <w:p>
      <w:pPr>
        <w:pStyle w:val="ListeParagraf"/>
        <w:spacing w:after="80"/>
        <w:ind w:left="709" w:right="0"/>
        <w:jc w:val="both"/>
      </w:pPr>
      <w:r>
        <w:rPr>
          <w:rFonts w:ascii="Calibri" w:hAnsi="Calibri" w:cs="Arial"/>
          <w:sz w:val="24"/>
          <w:szCs w:val="24"/>
        </w:rPr>
        <w:t xml:space="preserve">3.2. Cartons of the same lot are stacked together on a pallet; if cartons of more than one lot are on the same pallet, they are separated, the lots are written on the pallet label and on the packing list.</w:t>
      </w:r>
    </w:p>
    <w:p>
      <w:pPr>
        <w:pStyle w:val="ListeParagraf"/>
        <w:spacing w:after="80"/>
        <w:ind w:left="709" w:right="0"/>
        <w:jc w:val="both"/>
      </w:pPr>
      <w:r>
        <w:rPr>
          <w:rFonts w:ascii="Calibri" w:hAnsi="Calibri" w:cs="Arial"/>
          <w:sz w:val="24"/>
          <w:szCs w:val="24"/>
        </w:rPr>
        <w:t xml:space="preserve">3.3. The Traceability Record Form (EMS.DP.FRM.08.06) is completed for each lot with the order, lot number, carton range, pallet number, quantity and, where known, the sewing line, cutting and yarn lot information (EMS.ÜR.FRM.05.03) of the production.</w:t>
      </w:r>
    </w:p>
    <w:p>
      <w:pPr>
        <w:pStyle w:val="ListeParagraf"/>
        <w:spacing w:after="80"/>
        <w:ind w:left="709" w:right="0"/>
        <w:jc w:val="both"/>
      </w:pPr>
      <w:r>
        <w:rPr>
          <w:rFonts w:ascii="Calibri" w:hAnsi="Calibri" w:cs="Arial"/>
          <w:sz w:val="24"/>
          <w:szCs w:val="24"/>
        </w:rPr>
        <w:t xml:space="preserve">3.4. The Final Quality Controller checks lot, carton and pallet labels and the match with the packing list when selecting cartons for final inspection (EMS.QA.PRO.02.14).</w:t>
      </w:r>
    </w:p>
    <w:p>
      <w:pPr>
        <w:pStyle w:val="ListeParagraf"/>
        <w:spacing w:after="80"/>
        <w:ind w:left="709" w:right="0"/>
        <w:jc w:val="both"/>
      </w:pPr>
    </w:p>
    <w:p>
      <w:pPr>
        <w:pStyle w:val="ListeParagraf"/>
        <w:spacing w:before="120" w:after="60"/>
        <w:ind w:left="709" w:right="0"/>
      </w:pPr>
      <w:r>
        <w:rPr>
          <w:rFonts w:ascii="Calibri" w:hAnsi="Calibri" w:cs="Arial"/>
          <w:b/>
          <w:bCs/>
          <w:sz w:val="24"/>
          <w:szCs w:val="24"/>
        </w:rPr>
        <w:t xml:space="preserve">4. SPLITTING, MERGING AND REWORK</w:t>
      </w:r>
    </w:p>
    <w:p>
      <w:pPr>
        <w:pStyle w:val="ListeParagraf"/>
        <w:spacing w:after="80"/>
        <w:ind w:left="709" w:right="0"/>
        <w:jc w:val="both"/>
      </w:pPr>
      <w:r>
        <w:rPr>
          <w:rFonts w:ascii="Calibri" w:hAnsi="Calibri" w:cs="Arial"/>
          <w:sz w:val="24"/>
          <w:szCs w:val="24"/>
        </w:rPr>
        <w:t xml:space="preserve">4.1. A lot may be split into two lots, for example because of shipment, only with the approval of Quality Assurance. Each new lot receives an extension (-1, -2) to the original number and the records show the parent lot and quantities.</w:t>
      </w:r>
    </w:p>
    <w:p>
      <w:pPr>
        <w:pStyle w:val="ListeParagraf"/>
        <w:spacing w:after="80"/>
        <w:ind w:left="709" w:right="0"/>
        <w:jc w:val="both"/>
      </w:pPr>
      <w:r>
        <w:rPr>
          <w:rFonts w:ascii="Calibri" w:hAnsi="Calibri" w:cs="Arial"/>
          <w:sz w:val="24"/>
          <w:szCs w:val="24"/>
        </w:rPr>
        <w:t xml:space="preserve">4.2. Lots are merged only if all lot criteria (order, colour, size) are the same and Quality Assurance approves; the new number and the parent lots are recorded. Lots of different shifts or dates are not merged unless the customer approves.</w:t>
      </w:r>
    </w:p>
    <w:p>
      <w:pPr>
        <w:pStyle w:val="ListeParagraf"/>
        <w:spacing w:after="80"/>
        <w:ind w:left="709" w:right="0"/>
        <w:jc w:val="both"/>
      </w:pPr>
      <w:r>
        <w:rPr>
          <w:rFonts w:ascii="Calibri" w:hAnsi="Calibri" w:cs="Arial"/>
          <w:sz w:val="24"/>
          <w:szCs w:val="24"/>
        </w:rPr>
        <w:t xml:space="preserve">4.3. A lot that has been sorted, reworked or repacked after a nonconformity (EMS.QA.PRO.02.06) receives the suffix R1 (R2 for a second time). A rework lot is inspected again as a new lot under EMS.QA.PRO.02.14.</w:t>
      </w:r>
    </w:p>
    <w:p>
      <w:pPr>
        <w:pStyle w:val="ListeParagraf"/>
        <w:spacing w:after="80"/>
        <w:ind w:left="709" w:right="0"/>
        <w:jc w:val="both"/>
      </w:pPr>
      <w:r>
        <w:rPr>
          <w:rFonts w:ascii="Calibri" w:hAnsi="Calibri" w:cs="Arial"/>
          <w:sz w:val="24"/>
          <w:szCs w:val="24"/>
        </w:rPr>
        <w:t xml:space="preserve">4.4. A quantity difference between the packed quantity, the lot record and the carton quantity is investigated before the lot is closed; the lot is not closed with unexplained differences.</w:t>
      </w:r>
    </w:p>
    <w:p>
      <w:pPr>
        <w:pStyle w:val="ListeParagraf"/>
        <w:spacing w:after="80"/>
        <w:ind w:left="709" w:right="0"/>
        <w:jc w:val="both"/>
      </w:pPr>
    </w:p>
    <w:p>
      <w:pPr>
        <w:pStyle w:val="ListeParagraf"/>
        <w:spacing w:before="120" w:after="60"/>
        <w:ind w:left="709" w:right="0"/>
      </w:pPr>
      <w:r>
        <w:rPr>
          <w:rFonts w:ascii="Calibri" w:hAnsi="Calibri" w:cs="Arial"/>
          <w:b/>
          <w:bCs/>
          <w:sz w:val="24"/>
          <w:szCs w:val="24"/>
        </w:rPr>
        <w:t xml:space="preserve">5. NONCONFORMITY AND RECALL</w:t>
      </w:r>
    </w:p>
    <w:p>
      <w:pPr>
        <w:pStyle w:val="ListeParagraf"/>
        <w:spacing w:after="80"/>
        <w:ind w:left="709" w:right="0"/>
        <w:jc w:val="both"/>
      </w:pPr>
      <w:r>
        <w:rPr>
          <w:rFonts w:ascii="Calibri" w:hAnsi="Calibri" w:cs="Arial"/>
          <w:sz w:val="24"/>
          <w:szCs w:val="24"/>
        </w:rPr>
        <w:t xml:space="preserve">5.1. A wrong, missing, duplicated or unreadable lot label, a mixed lot, or a record that does not match the lot is a nonconformity. The lot is blocked, re-checked 100% and re-labelled under the control of Quality Assurance.</w:t>
      </w:r>
    </w:p>
    <w:p>
      <w:pPr>
        <w:pStyle w:val="ListeParagraf"/>
        <w:spacing w:after="80"/>
        <w:ind w:left="709" w:right="0"/>
        <w:jc w:val="both"/>
      </w:pPr>
      <w:r>
        <w:rPr>
          <w:rFonts w:ascii="Calibri" w:hAnsi="Calibri" w:cs="Arial"/>
          <w:sz w:val="24"/>
          <w:szCs w:val="24"/>
        </w:rPr>
        <w:t xml:space="preserve">5.2. A Nonconformance Report (NCR) is opened under EMS.QA.PRO.02.06; the product is handled under EMS.KS.PRO.22.02. A root cause analysis starts within 24 hours and a CAPA is opened under EMS.KS.PRO.22.03.</w:t>
      </w:r>
    </w:p>
    <w:p>
      <w:pPr>
        <w:pStyle w:val="ListeParagraf"/>
        <w:spacing w:after="80"/>
        <w:ind w:left="709" w:right="0"/>
        <w:jc w:val="both"/>
      </w:pPr>
      <w:r>
        <w:rPr>
          <w:rFonts w:ascii="Calibri" w:hAnsi="Calibri" w:cs="Arial"/>
          <w:sz w:val="24"/>
          <w:szCs w:val="24"/>
        </w:rPr>
        <w:t xml:space="preserve">5.3. In case of a complaint, customer finding or recall, Quality Assurance uses the lot records to identify the affected lots, cartons, pallets and shipments within the time defined in EMS.QA.PRO.02.08 and blocks them.</w:t>
      </w:r>
    </w:p>
    <w:p>
      <w:pPr>
        <w:pStyle w:val="ListeParagraf"/>
        <w:spacing w:after="80"/>
        <w:ind w:left="709" w:right="0"/>
        <w:jc w:val="both"/>
      </w:pPr>
    </w:p>
    <w:p>
      <w:pPr>
        <w:pStyle w:val="ListeParagraf"/>
        <w:spacing w:before="120" w:after="60"/>
        <w:ind w:left="709" w:right="0"/>
      </w:pPr>
      <w:r>
        <w:rPr>
          <w:rFonts w:ascii="Calibri" w:hAnsi="Calibri" w:cs="Arial"/>
          <w:b/>
          <w:bCs/>
          <w:sz w:val="24"/>
          <w:szCs w:val="24"/>
        </w:rPr>
        <w:t xml:space="preserve">6. RECORDS</w:t>
      </w:r>
    </w:p>
    <w:p>
      <w:pPr>
        <w:pStyle w:val="ListeParagraf"/>
        <w:spacing w:after="80"/>
        <w:ind w:left="709" w:right="0"/>
        <w:jc w:val="both"/>
      </w:pPr>
      <w:r>
        <w:rPr>
          <w:rFonts w:ascii="Calibri" w:hAnsi="Calibri" w:cs="Arial"/>
          <w:sz w:val="24"/>
          <w:szCs w:val="24"/>
        </w:rPr>
        <w:t xml:space="preserve">6.1. The Lotting and Lot Label Record Form (EMS.ÜR.FRM.05.10) and the Traceability Record Form (EMS.DP.FRM.08.06) are kept in the order file and are available to Quality Assurance and to the customer on request.</w:t>
      </w:r>
    </w:p>
    <w:p>
      <w:pPr>
        <w:pStyle w:val="ListeParagraf"/>
        <w:spacing w:after="80"/>
        <w:ind w:left="709" w:right="0"/>
        <w:jc w:val="both"/>
      </w:pPr>
      <w:r>
        <w:rPr>
          <w:rFonts w:ascii="Calibri" w:hAnsi="Calibri" w:cs="Arial"/>
          <w:sz w:val="24"/>
          <w:szCs w:val="24"/>
        </w:rPr>
        <w:t xml:space="preserve">6.2. Records are kept for at least 5 years or as required by the customer or the law. Lot records are not changed after closing; corrections are made by a signed, dated entry.</w:t>
      </w:r>
    </w:p>
    <w:p>
      <w:pPr>
        <w:pStyle w:val="ListeParagraf"/>
        <w:spacing w:after="80"/>
        <w:ind w:left="709" w:right="0"/>
        <w:jc w:val="both"/>
      </w:pPr>
    </w:p>
    <w:p>
      <w:pPr>
        <w:pStyle w:val="ListeParagraf"/>
        <w:spacing w:before="120" w:after="60"/>
        <w:ind w:left="709" w:right="0"/>
      </w:pPr>
      <w:r>
        <w:rPr>
          <w:rFonts w:ascii="Calibri" w:hAnsi="Calibri" w:cs="Arial"/>
          <w:b/>
          <w:bCs/>
          <w:sz w:val="24"/>
          <w:szCs w:val="24"/>
        </w:rPr>
        <w:t xml:space="preserve">RELATED DOCUMENTS AND RECORDS</w:t>
      </w:r>
    </w:p>
    <w:p>
      <w:pPr>
        <w:pStyle w:val="ListeParagraf"/>
        <w:numPr>
          <w:ilvl w:val="0"/>
          <w:numId w:val="1"/>
        </w:numPr>
        <w:spacing w:after="60"/>
        <w:jc w:val="both"/>
      </w:pPr>
      <w:r>
        <w:rPr>
          <w:rFonts w:ascii="Calibri" w:hAnsi="Calibri" w:cs="Arial"/>
          <w:sz w:val="24"/>
          <w:szCs w:val="24"/>
        </w:rPr>
        <w:t xml:space="preserve">EMS.QA.PRO.02.08. Traceability and Product Recall Procedure; EMS.QA.PRO.02.14. Final Inspection and Release Procedure; EMS.QA.PRO.02.09. Quality Inspection Procedure (Incoming, In-Line, Final AQL)</w:t>
      </w:r>
    </w:p>
    <w:p>
      <w:pPr>
        <w:pStyle w:val="ListeParagraf"/>
        <w:numPr>
          <w:ilvl w:val="0"/>
          <w:numId w:val="1"/>
        </w:numPr>
        <w:spacing w:after="60"/>
        <w:jc w:val="both"/>
      </w:pPr>
      <w:r>
        <w:rPr>
          <w:rFonts w:ascii="Calibri" w:hAnsi="Calibri" w:cs="Arial"/>
          <w:sz w:val="24"/>
          <w:szCs w:val="24"/>
        </w:rPr>
        <w:t xml:space="preserve">EMS.ÜR.PRO.05.10. Pressing, Final Control and Packing Procedure; EMS.ÜR.PRO.05.11. Packing and Labelling Procedure; EMS.ÜR.TL.05.14. Finished Goods Lot Numbering and Labelling Instruction</w:t>
      </w:r>
    </w:p>
    <w:p>
      <w:pPr>
        <w:pStyle w:val="ListeParagraf"/>
        <w:numPr>
          <w:ilvl w:val="0"/>
          <w:numId w:val="1"/>
        </w:numPr>
        <w:spacing w:after="60"/>
        <w:jc w:val="both"/>
      </w:pPr>
      <w:r>
        <w:rPr>
          <w:rFonts w:ascii="Calibri" w:hAnsi="Calibri" w:cs="Arial"/>
          <w:sz w:val="24"/>
          <w:szCs w:val="24"/>
        </w:rPr>
        <w:t xml:space="preserve">EMS.SO.PRO.23.07. SOP – Carton Packing and Shipment Preparation; EMS.DP.TL.08.04. Carton Marking, Labelling and Packing List Instruction</w:t>
      </w:r>
    </w:p>
    <w:p>
      <w:pPr>
        <w:pStyle w:val="ListeParagraf"/>
        <w:numPr>
          <w:ilvl w:val="0"/>
          <w:numId w:val="1"/>
        </w:numPr>
        <w:spacing w:after="60"/>
        <w:jc w:val="both"/>
      </w:pPr>
      <w:r>
        <w:rPr>
          <w:rFonts w:ascii="Calibri" w:hAnsi="Calibri" w:cs="Arial"/>
          <w:sz w:val="24"/>
          <w:szCs w:val="24"/>
        </w:rPr>
        <w:t xml:space="preserve">EMS.QA.PRO.02.06. Nonconformance Report (NCR) Procedure; EMS.KS.PRO.22.02. Nonconforming Product Control Procedure; EMS.KS.PRO.22.03. Corrective and Preventive Action (CAPA) for Quality Problems Procedure</w:t>
      </w:r>
    </w:p>
    <w:p>
      <w:pPr>
        <w:pStyle w:val="ListeParagraf"/>
        <w:numPr>
          <w:ilvl w:val="0"/>
          <w:numId w:val="1"/>
        </w:numPr>
        <w:spacing w:after="60"/>
        <w:jc w:val="both"/>
      </w:pPr>
      <w:r>
        <w:rPr>
          <w:rFonts w:ascii="Calibri" w:hAnsi="Calibri" w:cs="Arial"/>
          <w:sz w:val="24"/>
          <w:szCs w:val="24"/>
        </w:rPr>
        <w:t xml:space="preserve">EMS.ÜR.FRM.05.10 Lotting and Lot Label Record Form; EMS.ÜR.FRM.05.11 Carton Arrangement and Packing List Control Form; EMS.ÜR.FRM.05.07 Packing Control Form; EMS.DP.FRM.08.06 Traceability Record Form; EMS.DP.FRM.08.04 Loading Control Form</w:t>
      </w:r>
    </w:p>
    <w:p>
      <w:pPr>
        <w:pStyle w:val="ListeParagraf"/>
        <w:numPr>
          <w:ilvl w:val="0"/>
          <w:numId w:val="1"/>
        </w:numPr>
        <w:spacing w:after="60"/>
        <w:jc w:val="both"/>
      </w:pPr>
      <w:r>
        <w:rPr>
          <w:rFonts w:ascii="Calibri" w:hAnsi="Calibri" w:cs="Arial"/>
          <w:sz w:val="24"/>
          <w:szCs w:val="24"/>
        </w:rPr>
        <w:t xml:space="preserve">Standards: ISO 9001:2015 (clause 8.5.2 Identification and traceability)</w:t>
      </w:r>
    </w:p>
    <w:p>
      <w:pPr>
        <w:pStyle w:val="ListeParagraf"/>
        <w:spacing w:after="80"/>
        <w:ind w:left="709" w:right="0"/>
        <w:jc w:val="both"/>
      </w:pPr>
    </w:p>
    <w:p>
      <w:pPr>
        <w:pStyle w:val="ListeParagraf"/>
        <w:spacing w:before="120" w:after="60"/>
        <w:ind w:left="709" w:right="0"/>
      </w:pPr>
      <w:r>
        <w:rPr>
          <w:rFonts w:ascii="Calibri" w:hAnsi="Calibri" w:cs="Arial"/>
          <w:b/>
          <w:bCs/>
          <w:sz w:val="24"/>
          <w:szCs w:val="24"/>
        </w:rPr>
        <w:t xml:space="preserve">FEEDBACK AND FOLLOW-UP</w:t>
      </w:r>
    </w:p>
    <w:p>
      <w:pPr>
        <w:pStyle w:val="ListeParagraf"/>
        <w:spacing w:after="80"/>
        <w:ind w:left="709" w:right="0"/>
        <w:jc w:val="both"/>
      </w:pPr>
      <w:r>
        <w:rPr>
          <w:rFonts w:ascii="Calibri" w:hAnsi="Calibri" w:cs="Arial"/>
          <w:sz w:val="24"/>
          <w:szCs w:val="24"/>
        </w:rPr>
        <w:t xml:space="preserve">Quality Assurance reviews lot records monthly: lot label errors (target zero), mixed or unlabelled lots found at final inspection (target zero), time to identify a lot in a traceability test (target within 4 hours) and the share of lots with complete traceability records (target 100%). A traceability test with one lot is carried out at least once a year together with EMS.QA.PRO.02.08. This procedure is reviewed at least once a year or when the process, customer requirement or standards change.</w:t>
      </w:r>
    </w:p>
    <w:p>
      <w:r>
        <w:br w:type="page"/>
      </w:r>
    </w:p>
    <w:p>
      <w:pPr>
        <w:pStyle w:val="ListeParagraf"/>
        <w:bidi/>
        <w:spacing w:before="120" w:after="60"/>
        <w:ind w:left="0" w:right="709"/>
      </w:pPr>
      <w:r>
        <w:rPr>
          <w:rFonts w:ascii="Calibri" w:hAnsi="Calibri" w:cs="Arial"/>
          <w:b/>
          <w:bCs/>
          <w:rtl/>
          <w:sz w:val="24"/>
          <w:szCs w:val="24"/>
        </w:rPr>
        <w:t xml:space="preserve">الغرض</w:t>
      </w:r>
    </w:p>
    <w:p>
      <w:pPr>
        <w:pStyle w:val="ListeParagraf"/>
        <w:bidi/>
        <w:spacing w:after="80"/>
        <w:ind w:left="0" w:right="709"/>
        <w:jc w:val="both"/>
      </w:pPr>
      <w:r>
        <w:rPr>
          <w:rFonts w:ascii="Calibri" w:hAnsi="Calibri" w:cs="Arial"/>
          <w:rtl/>
          <w:sz w:val="24"/>
          <w:szCs w:val="24"/>
        </w:rPr>
        <w:t xml:space="preserve">يحدد هذا الإجراء كيفية تقسيم المنتجات النهائية إلى دفعات وكيفية ترقيم كل دفعة وتعليمها وربط الدفعات بالكراتين والمشاطيح في شركة إيروغلو للتريكو (EMS)، بحيث يمكن تتبع كل قطعة معبأة إلى طلبها ولونها ومقاسها ووردية إنتاجها وتاريخه، وعزل أي مشكلة بسرعة في كمية محددة.</w:t>
      </w:r>
    </w:p>
    <w:p>
      <w:pPr>
        <w:pStyle w:val="ListeParagraf"/>
        <w:bidi/>
        <w:spacing w:after="80"/>
        <w:ind w:left="0" w:right="709"/>
        <w:jc w:val="both"/>
      </w:pPr>
    </w:p>
    <w:p>
      <w:pPr>
        <w:pStyle w:val="ListeParagraf"/>
        <w:bidi/>
        <w:spacing w:before="120" w:after="60"/>
        <w:ind w:left="0" w:right="709"/>
      </w:pPr>
      <w:r>
        <w:rPr>
          <w:rFonts w:ascii="Calibri" w:hAnsi="Calibri" w:cs="Arial"/>
          <w:b/>
          <w:bCs/>
          <w:rtl/>
          <w:sz w:val="24"/>
          <w:szCs w:val="24"/>
        </w:rPr>
        <w:t xml:space="preserve">النطاق</w:t>
      </w:r>
    </w:p>
    <w:p>
      <w:pPr>
        <w:pStyle w:val="ListeParagraf"/>
        <w:bidi/>
        <w:spacing w:after="80"/>
        <w:ind w:left="0" w:right="709"/>
        <w:jc w:val="both"/>
      </w:pPr>
      <w:r>
        <w:rPr>
          <w:rFonts w:ascii="Calibri" w:hAnsi="Calibri" w:cs="Arial"/>
          <w:rtl/>
          <w:sz w:val="24"/>
          <w:szCs w:val="24"/>
        </w:rPr>
        <w:t xml:space="preserve">ينطبق هذا الإجراء على خطوة ترقيم الدفعات (الخطوة 6) بين التعبئة والتكرتن: تعريف الدفعة وهيكل رقم الدفعة وملصقات الدفعات وربط الدفعات بالكراتين والمشاطيح والتعامل مع الدفعات المختلطة والمقسمة والمدمجة وما أُعيد تصحيحه والسجلات. وهو يدعم الإجراء EMS.QA.PRO.02.08 التتبع واستدعاء المنتج والفحص النهائي وفق EMS.QA.PRO.02.14.</w:t>
      </w:r>
    </w:p>
    <w:p>
      <w:pPr>
        <w:pStyle w:val="ListeParagraf"/>
        <w:bidi/>
        <w:spacing w:after="80"/>
        <w:ind w:left="0" w:right="709"/>
        <w:jc w:val="both"/>
      </w:pPr>
    </w:p>
    <w:p>
      <w:pPr>
        <w:pStyle w:val="ListeParagraf"/>
        <w:bidi/>
        <w:spacing w:before="120" w:after="60"/>
        <w:ind w:left="0" w:right="709"/>
      </w:pPr>
      <w:r>
        <w:rPr>
          <w:rFonts w:ascii="Calibri" w:hAnsi="Calibri" w:cs="Arial"/>
          <w:b/>
          <w:bCs/>
          <w:rtl/>
          <w:sz w:val="24"/>
          <w:szCs w:val="24"/>
        </w:rPr>
        <w:t xml:space="preserve">المسؤوليات</w:t>
      </w:r>
    </w:p>
    <w:p>
      <w:pPr>
        <w:pStyle w:val="ListeParagraf"/>
        <w:bidi/>
        <w:spacing w:after="80"/>
        <w:ind w:left="0" w:right="709"/>
        <w:jc w:val="both"/>
      </w:pPr>
      <w:r>
        <w:rPr>
          <w:rFonts w:ascii="Calibri" w:hAnsi="Calibri" w:cs="Arial"/>
          <w:rtl/>
          <w:sz w:val="24"/>
          <w:szCs w:val="24"/>
        </w:rPr>
        <w:t xml:space="preserve">• </w:t>
      </w:r>
      <w:r>
        <w:rPr>
          <w:rFonts w:ascii="Calibri" w:hAnsi="Calibri" w:cs="Arial"/>
          <w:b/>
          <w:bCs/>
          <w:rtl/>
          <w:sz w:val="24"/>
          <w:szCs w:val="24"/>
        </w:rPr>
        <w:t xml:space="preserve">مسؤول الفحص النهائي والتعبئة (مسؤول التعبئة):</w:t>
      </w:r>
      <w:r>
        <w:rPr>
          <w:rFonts w:ascii="Calibri" w:hAnsi="Calibri" w:cs="Arial"/>
          <w:rtl/>
          <w:sz w:val="24"/>
          <w:szCs w:val="24"/>
        </w:rPr>
        <w:t xml:space="preserve"> يملك هذا الإجراء ويخصص أرقام الدفعات ويضمن طباعة الملصقات ولصقها ويوقع سجل الدفعة.</w:t>
      </w:r>
    </w:p>
    <w:p>
      <w:pPr>
        <w:pStyle w:val="ListeParagraf"/>
        <w:bidi/>
        <w:spacing w:after="80"/>
        <w:ind w:left="0" w:right="709"/>
        <w:jc w:val="both"/>
      </w:pPr>
      <w:r>
        <w:rPr>
          <w:rFonts w:ascii="Calibri" w:hAnsi="Calibri" w:cs="Arial"/>
          <w:rtl/>
          <w:sz w:val="24"/>
          <w:szCs w:val="24"/>
        </w:rPr>
        <w:t xml:space="preserve">• </w:t>
      </w:r>
      <w:r>
        <w:rPr>
          <w:rFonts w:ascii="Calibri" w:hAnsi="Calibri" w:cs="Arial"/>
          <w:b/>
          <w:bCs/>
          <w:rtl/>
          <w:sz w:val="24"/>
          <w:szCs w:val="24"/>
        </w:rPr>
        <w:t xml:space="preserve">عامل ترقيم الدفعات:</w:t>
      </w:r>
      <w:r>
        <w:rPr>
          <w:rFonts w:ascii="Calibri" w:hAnsi="Calibri" w:cs="Arial"/>
          <w:rtl/>
          <w:sz w:val="24"/>
          <w:szCs w:val="24"/>
        </w:rPr>
        <w:t xml:space="preserve"> يعد ويعلّم ويجمع الوحدات المعبأة بحسب الدفعة ويملأ السجلات.</w:t>
      </w:r>
    </w:p>
    <w:p>
      <w:pPr>
        <w:pStyle w:val="ListeParagraf"/>
        <w:bidi/>
        <w:spacing w:after="80"/>
        <w:ind w:left="0" w:right="709"/>
        <w:jc w:val="both"/>
      </w:pPr>
      <w:r>
        <w:rPr>
          <w:rFonts w:ascii="Calibri" w:hAnsi="Calibri" w:cs="Arial"/>
          <w:rtl/>
          <w:sz w:val="24"/>
          <w:szCs w:val="24"/>
        </w:rPr>
        <w:t xml:space="preserve">• </w:t>
      </w:r>
      <w:r>
        <w:rPr>
          <w:rFonts w:ascii="Calibri" w:hAnsi="Calibri" w:cs="Arial"/>
          <w:b/>
          <w:bCs/>
          <w:rtl/>
          <w:sz w:val="24"/>
          <w:szCs w:val="24"/>
        </w:rPr>
        <w:t xml:space="preserve">تخطيط الإنتاج:</w:t>
      </w:r>
      <w:r>
        <w:rPr>
          <w:rFonts w:ascii="Calibri" w:hAnsi="Calibri" w:cs="Arial"/>
          <w:rtl/>
          <w:sz w:val="24"/>
          <w:szCs w:val="24"/>
        </w:rPr>
        <w:t xml:space="preserve"> يوفر معلومات رقم الطلب واللون والمقاس والكمية ويحافظ على نظام أرقام الدفعات.</w:t>
      </w:r>
    </w:p>
    <w:p>
      <w:pPr>
        <w:pStyle w:val="ListeParagraf"/>
        <w:bidi/>
        <w:spacing w:after="80"/>
        <w:ind w:left="0" w:right="709"/>
        <w:jc w:val="both"/>
      </w:pPr>
      <w:r>
        <w:rPr>
          <w:rFonts w:ascii="Calibri" w:hAnsi="Calibri" w:cs="Arial"/>
          <w:rtl/>
          <w:sz w:val="24"/>
          <w:szCs w:val="24"/>
        </w:rPr>
        <w:t xml:space="preserve">• </w:t>
      </w:r>
      <w:r>
        <w:rPr>
          <w:rFonts w:ascii="Calibri" w:hAnsi="Calibri" w:cs="Arial"/>
          <w:b/>
          <w:bCs/>
          <w:rtl/>
          <w:sz w:val="24"/>
          <w:szCs w:val="24"/>
        </w:rPr>
        <w:t xml:space="preserve">مراقب الجودة النهائية:</w:t>
      </w:r>
      <w:r>
        <w:rPr>
          <w:rFonts w:ascii="Calibri" w:hAnsi="Calibri" w:cs="Arial"/>
          <w:rtl/>
          <w:sz w:val="24"/>
          <w:szCs w:val="24"/>
        </w:rPr>
        <w:t xml:space="preserve"> يفحص ملصقات الدفعات والتطابق بين الدفعة والكرتون وقائمة التعبئة في الفحص النهائي.</w:t>
      </w:r>
    </w:p>
    <w:p>
      <w:pPr>
        <w:pStyle w:val="ListeParagraf"/>
        <w:bidi/>
        <w:spacing w:after="80"/>
        <w:ind w:left="0" w:right="709"/>
        <w:jc w:val="both"/>
      </w:pPr>
      <w:r>
        <w:rPr>
          <w:rFonts w:ascii="Calibri" w:hAnsi="Calibri" w:cs="Arial"/>
          <w:rtl/>
          <w:sz w:val="24"/>
          <w:szCs w:val="24"/>
        </w:rPr>
        <w:t xml:space="preserve">• </w:t>
      </w:r>
      <w:r>
        <w:rPr>
          <w:rFonts w:ascii="Calibri" w:hAnsi="Calibri" w:cs="Arial"/>
          <w:b/>
          <w:bCs/>
          <w:rtl/>
          <w:sz w:val="24"/>
          <w:szCs w:val="24"/>
        </w:rPr>
        <w:t xml:space="preserve">مدير ضمان الجودة:</w:t>
      </w:r>
      <w:r>
        <w:rPr>
          <w:rFonts w:ascii="Calibri" w:hAnsi="Calibri" w:cs="Arial"/>
          <w:rtl/>
          <w:sz w:val="24"/>
          <w:szCs w:val="24"/>
        </w:rPr>
        <w:t xml:space="preserve"> يعتمد تقسيم الدفعات ودمجها وقرارات دفعات إعادة التصحيح ويستخدم سجلات الدفعات في الاستدعاء والشكاوى.</w:t>
      </w:r>
    </w:p>
    <w:p>
      <w:pPr>
        <w:pStyle w:val="ListeParagraf"/>
        <w:bidi/>
        <w:spacing w:after="80"/>
        <w:ind w:left="0" w:right="709"/>
        <w:jc w:val="both"/>
      </w:pPr>
      <w:r>
        <w:rPr>
          <w:rFonts w:ascii="Calibri" w:hAnsi="Calibri" w:cs="Arial"/>
          <w:rtl/>
          <w:sz w:val="24"/>
          <w:szCs w:val="24"/>
        </w:rPr>
        <w:t xml:space="preserve">• </w:t>
      </w:r>
      <w:r>
        <w:rPr>
          <w:rFonts w:ascii="Calibri" w:hAnsi="Calibri" w:cs="Arial"/>
          <w:b/>
          <w:bCs/>
          <w:rtl/>
          <w:sz w:val="24"/>
          <w:szCs w:val="24"/>
        </w:rPr>
        <w:t xml:space="preserve">مسؤول المستودع والشحن:</w:t>
      </w:r>
      <w:r>
        <w:rPr>
          <w:rFonts w:ascii="Calibri" w:hAnsi="Calibri" w:cs="Arial"/>
          <w:rtl/>
          <w:sz w:val="24"/>
          <w:szCs w:val="24"/>
        </w:rPr>
        <w:t xml:space="preserve"> لا يقبل المشاطيح إلا بملصقات دفعات صحيحة ويسجل أرقام المشاطيح والدفعات.</w:t>
      </w:r>
    </w:p>
    <w:p>
      <w:pPr>
        <w:pStyle w:val="ListeParagraf"/>
        <w:bidi/>
        <w:spacing w:after="80"/>
        <w:ind w:left="0" w:right="709"/>
        <w:jc w:val="both"/>
      </w:pPr>
    </w:p>
    <w:p>
      <w:pPr>
        <w:pStyle w:val="ListeParagraf"/>
        <w:bidi/>
        <w:spacing w:before="120" w:after="60"/>
        <w:ind w:left="0" w:right="709"/>
      </w:pPr>
      <w:r>
        <w:rPr>
          <w:rFonts w:ascii="Calibri" w:hAnsi="Calibri" w:cs="Arial"/>
          <w:b/>
          <w:bCs/>
          <w:rtl/>
          <w:sz w:val="24"/>
          <w:szCs w:val="24"/>
        </w:rPr>
        <w:t xml:space="preserve">التعريفات</w:t>
      </w:r>
    </w:p>
    <w:p>
      <w:pPr>
        <w:pStyle w:val="ListeParagraf"/>
        <w:bidi/>
        <w:spacing w:after="80"/>
        <w:ind w:left="0" w:right="709"/>
        <w:jc w:val="both"/>
      </w:pPr>
      <w:r>
        <w:rPr>
          <w:rFonts w:ascii="Calibri" w:hAnsi="Calibri" w:cs="Arial"/>
          <w:rtl/>
          <w:sz w:val="24"/>
          <w:szCs w:val="24"/>
        </w:rPr>
        <w:t xml:space="preserve">• </w:t>
      </w:r>
      <w:r>
        <w:rPr>
          <w:rFonts w:ascii="Calibri" w:hAnsi="Calibri" w:cs="Arial"/>
          <w:b/>
          <w:bCs/>
          <w:rtl/>
          <w:sz w:val="24"/>
          <w:szCs w:val="24"/>
        </w:rPr>
        <w:t xml:space="preserve">دفعة المنتج النهائي:</w:t>
      </w:r>
      <w:r>
        <w:rPr>
          <w:rFonts w:ascii="Calibri" w:hAnsi="Calibri" w:cs="Arial"/>
          <w:rtl/>
          <w:sz w:val="24"/>
          <w:szCs w:val="24"/>
        </w:rPr>
        <w:t xml:space="preserve"> كمية محددة من الملابس من الطلب واللون والمقاس نفسه، أُنتجت في الوردية والتاريخ نفسه، وعُبئت وفُحصت كمجموعة واحدة.</w:t>
      </w:r>
    </w:p>
    <w:p>
      <w:pPr>
        <w:pStyle w:val="ListeParagraf"/>
        <w:bidi/>
        <w:spacing w:after="80"/>
        <w:ind w:left="0" w:right="709"/>
        <w:jc w:val="both"/>
      </w:pPr>
      <w:r>
        <w:rPr>
          <w:rFonts w:ascii="Calibri" w:hAnsi="Calibri" w:cs="Arial"/>
          <w:rtl/>
          <w:sz w:val="24"/>
          <w:szCs w:val="24"/>
        </w:rPr>
        <w:t xml:space="preserve">• </w:t>
      </w:r>
      <w:r>
        <w:rPr>
          <w:rFonts w:ascii="Calibri" w:hAnsi="Calibri" w:cs="Arial"/>
          <w:b/>
          <w:bCs/>
          <w:rtl/>
          <w:sz w:val="24"/>
          <w:szCs w:val="24"/>
        </w:rPr>
        <w:t xml:space="preserve">رقم الدفعة:</w:t>
      </w:r>
      <w:r>
        <w:rPr>
          <w:rFonts w:ascii="Calibri" w:hAnsi="Calibri" w:cs="Arial"/>
          <w:rtl/>
          <w:sz w:val="24"/>
          <w:szCs w:val="24"/>
        </w:rPr>
        <w:t xml:space="preserve"> التعريف الفريد للدفعة المبني من الطلب واللون والمقاس والوردية والتاريخ (مثال: 24-0815-BLK-M-A-141026 = الطلب 24-0815 واللون BLK والمقاس M والوردية A و14 أكتوبر 2026).</w:t>
      </w:r>
    </w:p>
    <w:p>
      <w:pPr>
        <w:pStyle w:val="ListeParagraf"/>
        <w:bidi/>
        <w:spacing w:after="80"/>
        <w:ind w:left="0" w:right="709"/>
        <w:jc w:val="both"/>
      </w:pPr>
      <w:r>
        <w:rPr>
          <w:rFonts w:ascii="Calibri" w:hAnsi="Calibri" w:cs="Arial"/>
          <w:rtl/>
          <w:sz w:val="24"/>
          <w:szCs w:val="24"/>
        </w:rPr>
        <w:t xml:space="preserve">• </w:t>
      </w:r>
      <w:r>
        <w:rPr>
          <w:rFonts w:ascii="Calibri" w:hAnsi="Calibri" w:cs="Arial"/>
          <w:b/>
          <w:bCs/>
          <w:rtl/>
          <w:sz w:val="24"/>
          <w:szCs w:val="24"/>
        </w:rPr>
        <w:t xml:space="preserve">ملصق الدفعة:</w:t>
      </w:r>
      <w:r>
        <w:rPr>
          <w:rFonts w:ascii="Calibri" w:hAnsi="Calibri" w:cs="Arial"/>
          <w:rtl/>
          <w:sz w:val="24"/>
          <w:szCs w:val="24"/>
        </w:rPr>
        <w:t xml:space="preserve"> الملصق الذي يبين رقم الدفعة والطلب واللون والمقاس والكمية والتاريخ والمعبّئ، وباركود إن استُخدم.</w:t>
      </w:r>
    </w:p>
    <w:p>
      <w:pPr>
        <w:pStyle w:val="ListeParagraf"/>
        <w:bidi/>
        <w:spacing w:after="80"/>
        <w:ind w:left="0" w:right="709"/>
        <w:jc w:val="both"/>
      </w:pPr>
      <w:r>
        <w:rPr>
          <w:rFonts w:ascii="Calibri" w:hAnsi="Calibri" w:cs="Arial"/>
          <w:rtl/>
          <w:sz w:val="24"/>
          <w:szCs w:val="24"/>
        </w:rPr>
        <w:t xml:space="preserve">• </w:t>
      </w:r>
      <w:r>
        <w:rPr>
          <w:rFonts w:ascii="Calibri" w:hAnsi="Calibri" w:cs="Arial"/>
          <w:b/>
          <w:bCs/>
          <w:rtl/>
          <w:sz w:val="24"/>
          <w:szCs w:val="24"/>
        </w:rPr>
        <w:t xml:space="preserve">دفعة إعادة التصحيح:</w:t>
      </w:r>
      <w:r>
        <w:rPr>
          <w:rFonts w:ascii="Calibri" w:hAnsi="Calibri" w:cs="Arial"/>
          <w:rtl/>
          <w:sz w:val="24"/>
          <w:szCs w:val="24"/>
        </w:rPr>
        <w:t xml:space="preserve"> دفعة تم فرزها أو إعادة تصحيحها بعد عدم مطابقة؛ ويحمل رقمها اللاحقة R1 أو R2.</w:t>
      </w:r>
    </w:p>
    <w:p>
      <w:pPr>
        <w:pStyle w:val="ListeParagraf"/>
        <w:bidi/>
        <w:spacing w:after="80"/>
        <w:ind w:left="0" w:right="709"/>
        <w:jc w:val="both"/>
      </w:pPr>
      <w:r>
        <w:rPr>
          <w:rFonts w:ascii="Calibri" w:hAnsi="Calibri" w:cs="Arial"/>
          <w:rtl/>
          <w:sz w:val="24"/>
          <w:szCs w:val="24"/>
        </w:rPr>
        <w:t xml:space="preserve">• </w:t>
      </w:r>
      <w:r>
        <w:rPr>
          <w:rFonts w:ascii="Calibri" w:hAnsi="Calibri" w:cs="Arial"/>
          <w:b/>
          <w:bCs/>
          <w:rtl/>
          <w:sz w:val="24"/>
          <w:szCs w:val="24"/>
        </w:rPr>
        <w:t xml:space="preserve">التتبع:</w:t>
      </w:r>
      <w:r>
        <w:rPr>
          <w:rFonts w:ascii="Calibri" w:hAnsi="Calibri" w:cs="Arial"/>
          <w:rtl/>
          <w:sz w:val="24"/>
          <w:szCs w:val="24"/>
        </w:rPr>
        <w:t xml:space="preserve"> القدرة على تتبع الدفعة إلى مدخلات إنتاجها (دفعة الخيط والقص وخط الخياطة) وإلى الأمام نحو كراتينها ومشاطيحها وشحنتها.</w:t>
      </w:r>
    </w:p>
    <w:p>
      <w:pPr>
        <w:pStyle w:val="ListeParagraf"/>
        <w:bidi/>
        <w:spacing w:after="80"/>
        <w:ind w:left="0" w:right="709"/>
        <w:jc w:val="both"/>
      </w:pPr>
    </w:p>
    <w:p>
      <w:pPr>
        <w:pStyle w:val="ListeParagraf"/>
        <w:bidi/>
        <w:spacing w:before="120" w:after="60"/>
        <w:ind w:left="0" w:right="709"/>
      </w:pPr>
      <w:r>
        <w:rPr>
          <w:rFonts w:ascii="Calibri" w:hAnsi="Calibri" w:cs="Arial"/>
          <w:b/>
          <w:bCs/>
          <w:rtl/>
          <w:sz w:val="24"/>
          <w:szCs w:val="24"/>
        </w:rPr>
        <w:t xml:space="preserve">العمليات الرئيسية والفرعية</w:t>
      </w:r>
    </w:p>
    <w:p>
      <w:pPr>
        <w:pStyle w:val="ListeParagraf"/>
        <w:bidi/>
        <w:spacing w:before="120" w:after="60"/>
        <w:ind w:left="0" w:right="709"/>
      </w:pPr>
      <w:r>
        <w:rPr>
          <w:rFonts w:ascii="Calibri" w:hAnsi="Calibri" w:cs="Arial"/>
          <w:b/>
          <w:bCs/>
          <w:rtl/>
          <w:sz w:val="24"/>
          <w:szCs w:val="24"/>
        </w:rPr>
        <w:t xml:space="preserve">1. تعريف الدفعة ورقمها</w:t>
      </w:r>
    </w:p>
    <w:p>
      <w:pPr>
        <w:pStyle w:val="ListeParagraf"/>
        <w:bidi/>
        <w:spacing w:after="80"/>
        <w:ind w:left="0" w:right="709"/>
        <w:jc w:val="both"/>
      </w:pPr>
      <w:r>
        <w:rPr>
          <w:rFonts w:ascii="Calibri" w:hAnsi="Calibri" w:cs="Arial"/>
          <w:rtl/>
          <w:sz w:val="24"/>
          <w:szCs w:val="24"/>
        </w:rPr>
        <w:t xml:space="preserve">1.1. التسلسل هو: فحص الجودة (EMS.QA.PRO.02.09)، الكي (EMS.ÜR.PRO.05.10 / EMS.ÜR.TL.05.06)، الفحص البصري (EMS.QA.PRO.02.13)، كشف المعادن (EMS.QA.PRO.02.05)، التعبئة (EMS.ÜR.PRO.05.11)، ترقيم الدفعات (هذا الإجراء)، التكرتن (EMS.SO.PRO.23.07 / EMS.DP.TL.08.04)، الفحص النهائي (EMS.QA.PRO.02.14).</w:t>
      </w:r>
    </w:p>
    <w:p>
      <w:pPr>
        <w:pStyle w:val="ListeParagraf"/>
        <w:bidi/>
        <w:spacing w:after="80"/>
        <w:ind w:left="0" w:right="709"/>
        <w:jc w:val="both"/>
      </w:pPr>
      <w:r>
        <w:rPr>
          <w:rFonts w:ascii="Calibri" w:hAnsi="Calibri" w:cs="Arial"/>
          <w:rtl/>
          <w:sz w:val="24"/>
          <w:szCs w:val="24"/>
        </w:rPr>
        <w:t xml:space="preserve">1.2. تحتوي الدفعة الواحدة على ملابس من طلب واحد ولون واحد ومقاس واحد، أُنتجت في وردية واحدة وتاريخ واحد. ولا توضع ملابس من طلبات أو ألوان أو مقاسات أو ورديات أو تواريخ مختلفة في الدفعة نفسها أبداً. ويتبع الحد الأقصى لحجم الدفعة مواصفات العميل وسياسة الشركة (مثال: 3,200 قطعة أو إنتاج وردية واحدة).</w:t>
      </w:r>
    </w:p>
    <w:p>
      <w:pPr>
        <w:pStyle w:val="ListeParagraf"/>
        <w:bidi/>
        <w:spacing w:after="80"/>
        <w:ind w:left="0" w:right="709"/>
        <w:jc w:val="both"/>
      </w:pPr>
      <w:r>
        <w:rPr>
          <w:rFonts w:ascii="Calibri" w:hAnsi="Calibri" w:cs="Arial"/>
          <w:rtl/>
          <w:sz w:val="24"/>
          <w:szCs w:val="24"/>
        </w:rPr>
        <w:t xml:space="preserve">1.3. يُبنى رقم الدفعة بالترتيب: رقم الطلب، رمز اللون، رمز المقاس، رمز الوردية (A وB وC)، والتاريخ (DDMMYY)، مثل 24-0815-BLK-M-A-141026. وإذا طلب العميل نظام دفعات آخر فيُستخدم ويُربط برقم دفعة EMS في السجل.</w:t>
      </w:r>
    </w:p>
    <w:p>
      <w:pPr>
        <w:pStyle w:val="ListeParagraf"/>
        <w:bidi/>
        <w:spacing w:after="80"/>
        <w:ind w:left="0" w:right="709"/>
        <w:jc w:val="both"/>
      </w:pPr>
      <w:r>
        <w:rPr>
          <w:rFonts w:ascii="Calibri" w:hAnsi="Calibri" w:cs="Arial"/>
          <w:rtl/>
          <w:sz w:val="24"/>
          <w:szCs w:val="24"/>
        </w:rPr>
        <w:t xml:space="preserve">1.4. كل رقم دفعة فريد ولا يُستخدم مرتين. ويخصص مسؤول الفحص النهائي والتعبئة أرقام الدفعات وتُسجل في نموذج سجل الدفعات وملصقات الدفعات (EMS.ÜR.FRM.05.10) قبل طباعة الملصقات.</w:t>
      </w:r>
    </w:p>
    <w:p>
      <w:pPr>
        <w:pStyle w:val="ListeParagraf"/>
        <w:bidi/>
        <w:spacing w:after="80"/>
        <w:ind w:left="0" w:right="709"/>
        <w:jc w:val="both"/>
      </w:pPr>
    </w:p>
    <w:p>
      <w:pPr>
        <w:pStyle w:val="ListeParagraf"/>
        <w:bidi/>
        <w:spacing w:before="120" w:after="60"/>
        <w:ind w:left="0" w:right="709"/>
      </w:pPr>
      <w:r>
        <w:rPr>
          <w:rFonts w:ascii="Calibri" w:hAnsi="Calibri" w:cs="Arial"/>
          <w:b/>
          <w:bCs/>
          <w:rtl/>
          <w:sz w:val="24"/>
          <w:szCs w:val="24"/>
        </w:rPr>
        <w:t xml:space="preserve">2. ملصق الدفعة</w:t>
      </w:r>
    </w:p>
    <w:p>
      <w:pPr>
        <w:pStyle w:val="ListeParagraf"/>
        <w:bidi/>
        <w:spacing w:after="80"/>
        <w:ind w:left="0" w:right="709"/>
        <w:jc w:val="both"/>
      </w:pPr>
      <w:r>
        <w:rPr>
          <w:rFonts w:ascii="Calibri" w:hAnsi="Calibri" w:cs="Arial"/>
          <w:rtl/>
          <w:sz w:val="24"/>
          <w:szCs w:val="24"/>
        </w:rPr>
        <w:t xml:space="preserve">2.1. يبين ملصق الدفعة على الأقل: رقم الدفعة والطلب والعميل أو الموديل واللون والمقاس والكمية وتاريخ الإنتاج والوردية واسم المعبّئ أو رمزه، وباركود رقم الدفعة حيثما يُستخدم. والتنسيق مبين في تعليمات ترقيم دفعات المنتج النهائي ووضع ملصقاتها (EMS.ÜR.TL.05.14).</w:t>
      </w:r>
    </w:p>
    <w:p>
      <w:pPr>
        <w:pStyle w:val="ListeParagraf"/>
        <w:bidi/>
        <w:spacing w:after="80"/>
        <w:ind w:left="0" w:right="709"/>
        <w:jc w:val="both"/>
      </w:pPr>
      <w:r>
        <w:rPr>
          <w:rFonts w:ascii="Calibri" w:hAnsi="Calibri" w:cs="Arial"/>
          <w:rtl/>
          <w:sz w:val="24"/>
          <w:szCs w:val="24"/>
        </w:rPr>
        <w:t xml:space="preserve">2.2. تُطبع الملصقات من سجل الدفعة فقط؛ ولا يُسمح بالملصقات المكتوبة بخط اليد إلا كنسخة احتياطية مراقبة وموقعة.</w:t>
      </w:r>
    </w:p>
    <w:p>
      <w:pPr>
        <w:pStyle w:val="ListeParagraf"/>
        <w:bidi/>
        <w:spacing w:after="80"/>
        <w:ind w:left="0" w:right="709"/>
        <w:jc w:val="both"/>
      </w:pPr>
      <w:r>
        <w:rPr>
          <w:rFonts w:ascii="Calibri" w:hAnsi="Calibri" w:cs="Arial"/>
          <w:rtl/>
          <w:sz w:val="24"/>
          <w:szCs w:val="24"/>
        </w:rPr>
        <w:t xml:space="preserve">2.3. يُلصق ملصق واحد على كل وحدة دفعة (رزمة العبوات الداخلية أو الصندوق) وعلى كل كرتون في الموضع نفسه حسب الحاجة؛ ويُحمى الملصق بحيث لا يسقط ولا يمكن تغييره.</w:t>
      </w:r>
    </w:p>
    <w:p>
      <w:pPr>
        <w:pStyle w:val="ListeParagraf"/>
        <w:bidi/>
        <w:spacing w:after="80"/>
        <w:ind w:left="0" w:right="709"/>
        <w:jc w:val="both"/>
      </w:pPr>
      <w:r>
        <w:rPr>
          <w:rFonts w:ascii="Calibri" w:hAnsi="Calibri" w:cs="Arial"/>
          <w:rtl/>
          <w:sz w:val="24"/>
          <w:szCs w:val="24"/>
        </w:rPr>
        <w:t xml:space="preserve">2.4. تُزال الملصقات القديمة أو التالفة أو المكررة وتُتلف بشكل مراقب بحيث لا يمكن إعادة استخدامها.</w:t>
      </w:r>
    </w:p>
    <w:p>
      <w:pPr>
        <w:pStyle w:val="ListeParagraf"/>
        <w:bidi/>
        <w:spacing w:after="80"/>
        <w:ind w:left="0" w:right="709"/>
        <w:jc w:val="both"/>
      </w:pPr>
    </w:p>
    <w:p>
      <w:pPr>
        <w:pStyle w:val="ListeParagraf"/>
        <w:bidi/>
        <w:spacing w:before="120" w:after="60"/>
        <w:ind w:left="0" w:right="709"/>
      </w:pPr>
      <w:r>
        <w:rPr>
          <w:rFonts w:ascii="Calibri" w:hAnsi="Calibri" w:cs="Arial"/>
          <w:b/>
          <w:bCs/>
          <w:rtl/>
          <w:sz w:val="24"/>
          <w:szCs w:val="24"/>
        </w:rPr>
        <w:t xml:space="preserve">3. ربط الدفعة بالكرتون والمشطاح</w:t>
      </w:r>
    </w:p>
    <w:p>
      <w:pPr>
        <w:pStyle w:val="ListeParagraf"/>
        <w:bidi/>
        <w:spacing w:after="80"/>
        <w:ind w:left="0" w:right="709"/>
        <w:jc w:val="both"/>
      </w:pPr>
      <w:r>
        <w:rPr>
          <w:rFonts w:ascii="Calibri" w:hAnsi="Calibri" w:cs="Arial"/>
          <w:rtl/>
          <w:sz w:val="24"/>
          <w:szCs w:val="24"/>
        </w:rPr>
        <w:t xml:space="preserve">3.1. أثناء التكرتن (EMS.SO.PRO.23.07 وEMS.DP.TL.08.04) يحصل كل كرتون على رقمه، ويُكتب رقم الدفعة وكمية الكرتون وتشكيلته في نموذج سجل الدفعات وملصقات الدفعات (EMS.ÜR.FRM.05.10) وفي نموذج مراقبة ترتيب الكراتين وقائمة التعبئة (EMS.ÜR.FRM.05.11).</w:t>
      </w:r>
    </w:p>
    <w:p>
      <w:pPr>
        <w:pStyle w:val="ListeParagraf"/>
        <w:bidi/>
        <w:spacing w:after="80"/>
        <w:ind w:left="0" w:right="709"/>
        <w:jc w:val="both"/>
      </w:pPr>
      <w:r>
        <w:rPr>
          <w:rFonts w:ascii="Calibri" w:hAnsi="Calibri" w:cs="Arial"/>
          <w:rtl/>
          <w:sz w:val="24"/>
          <w:szCs w:val="24"/>
        </w:rPr>
        <w:t xml:space="preserve">3.2. تُكدس كراتين الدفعة نفسها معاً على المشطاح؛ وإذا وُجدت كراتين من أكثر من دفعة على المشطاح نفسه فإنها تُفصل وتُكتب الدفعات على ملصق المشطاح وقائمة التعبئة.</w:t>
      </w:r>
    </w:p>
    <w:p>
      <w:pPr>
        <w:pStyle w:val="ListeParagraf"/>
        <w:bidi/>
        <w:spacing w:after="80"/>
        <w:ind w:left="0" w:right="709"/>
        <w:jc w:val="both"/>
      </w:pPr>
      <w:r>
        <w:rPr>
          <w:rFonts w:ascii="Calibri" w:hAnsi="Calibri" w:cs="Arial"/>
          <w:rtl/>
          <w:sz w:val="24"/>
          <w:szCs w:val="24"/>
        </w:rPr>
        <w:t xml:space="preserve">3.3. يُستكمل نموذج سجل التتبع (EMS.DP.FRM.08.06) لكل دفعة بالطلب ورقم الدفعة ونطاق الكراتين ورقم المشطاح والكمية، وعند توفرها معلومات خط الخياطة والقص ودفعة الخيط (EMS.ÜR.FRM.05.03) للإنتاج.</w:t>
      </w:r>
    </w:p>
    <w:p>
      <w:pPr>
        <w:pStyle w:val="ListeParagraf"/>
        <w:bidi/>
        <w:spacing w:after="80"/>
        <w:ind w:left="0" w:right="709"/>
        <w:jc w:val="both"/>
      </w:pPr>
      <w:r>
        <w:rPr>
          <w:rFonts w:ascii="Calibri" w:hAnsi="Calibri" w:cs="Arial"/>
          <w:rtl/>
          <w:sz w:val="24"/>
          <w:szCs w:val="24"/>
        </w:rPr>
        <w:t xml:space="preserve">3.4. يفحص مراقب الجودة النهائية ملصقات الدفعة والكرتون والمشطاح والتطابق مع قائمة التعبئة عند اختيار الكراتين للفحص النهائي (EMS.QA.PRO.02.14).</w:t>
      </w:r>
    </w:p>
    <w:p>
      <w:pPr>
        <w:pStyle w:val="ListeParagraf"/>
        <w:bidi/>
        <w:spacing w:after="80"/>
        <w:ind w:left="0" w:right="709"/>
        <w:jc w:val="both"/>
      </w:pPr>
    </w:p>
    <w:p>
      <w:pPr>
        <w:pStyle w:val="ListeParagraf"/>
        <w:bidi/>
        <w:spacing w:before="120" w:after="60"/>
        <w:ind w:left="0" w:right="709"/>
      </w:pPr>
      <w:r>
        <w:rPr>
          <w:rFonts w:ascii="Calibri" w:hAnsi="Calibri" w:cs="Arial"/>
          <w:b/>
          <w:bCs/>
          <w:rtl/>
          <w:sz w:val="24"/>
          <w:szCs w:val="24"/>
        </w:rPr>
        <w:t xml:space="preserve">4. التقسيم والدمج وإعادة التصحيح</w:t>
      </w:r>
    </w:p>
    <w:p>
      <w:pPr>
        <w:pStyle w:val="ListeParagraf"/>
        <w:bidi/>
        <w:spacing w:after="80"/>
        <w:ind w:left="0" w:right="709"/>
        <w:jc w:val="both"/>
      </w:pPr>
      <w:r>
        <w:rPr>
          <w:rFonts w:ascii="Calibri" w:hAnsi="Calibri" w:cs="Arial"/>
          <w:rtl/>
          <w:sz w:val="24"/>
          <w:szCs w:val="24"/>
        </w:rPr>
        <w:t xml:space="preserve">4.1. يجوز تقسيم الدفعة إلى دفعتين، مثلاً بسبب الشحن، فقط بموافقة ضمان الجودة. وتحصل كل دفعة جديدة على امتداد (-1 و-2) لرقمها الأصلي وتبين السجلات الدفعة الأم والكميات.</w:t>
      </w:r>
    </w:p>
    <w:p>
      <w:pPr>
        <w:pStyle w:val="ListeParagraf"/>
        <w:bidi/>
        <w:spacing w:after="80"/>
        <w:ind w:left="0" w:right="709"/>
        <w:jc w:val="both"/>
      </w:pPr>
      <w:r>
        <w:rPr>
          <w:rFonts w:ascii="Calibri" w:hAnsi="Calibri" w:cs="Arial"/>
          <w:rtl/>
          <w:sz w:val="24"/>
          <w:szCs w:val="24"/>
        </w:rPr>
        <w:t xml:space="preserve">4.2. لا تُدمج الدفعات إلا إذا تطابقت جميع معايير الدفعة (الطلب واللون والمقاس) ووافق ضمان الجودة؛ ويُسجل الرقم الجديد والدفعات الأم. ولا تُدمج دفعات من ورديات أو تواريخ مختلفة إلا بموافقة العميل.</w:t>
      </w:r>
    </w:p>
    <w:p>
      <w:pPr>
        <w:pStyle w:val="ListeParagraf"/>
        <w:bidi/>
        <w:spacing w:after="80"/>
        <w:ind w:left="0" w:right="709"/>
        <w:jc w:val="both"/>
      </w:pPr>
      <w:r>
        <w:rPr>
          <w:rFonts w:ascii="Calibri" w:hAnsi="Calibri" w:cs="Arial"/>
          <w:rtl/>
          <w:sz w:val="24"/>
          <w:szCs w:val="24"/>
        </w:rPr>
        <w:t xml:space="preserve">4.3. تحصل الدفعة التي فُرزت أو أُعيد تصحيحها أو أُعيدت تعبئتها بعد عدم مطابقة (EMS.QA.PRO.02.06) على اللاحقة R1 (وR2 في المرة الثانية). وتُفحص دفعة إعادة التصحيح مجدداً كدفعة جديدة وفق EMS.QA.PRO.02.14.</w:t>
      </w:r>
    </w:p>
    <w:p>
      <w:pPr>
        <w:pStyle w:val="ListeParagraf"/>
        <w:bidi/>
        <w:spacing w:after="80"/>
        <w:ind w:left="0" w:right="709"/>
        <w:jc w:val="both"/>
      </w:pPr>
      <w:r>
        <w:rPr>
          <w:rFonts w:ascii="Calibri" w:hAnsi="Calibri" w:cs="Arial"/>
          <w:rtl/>
          <w:sz w:val="24"/>
          <w:szCs w:val="24"/>
        </w:rPr>
        <w:t xml:space="preserve">4.4. يُحقق في أي فرق في الكمية بين الكمية المعبأة وسجل الدفعة وكمية الكرتون قبل إغلاق الدفعة؛ ولا تُغلق الدفعة مع فروق غير مفسَّرة.</w:t>
      </w:r>
    </w:p>
    <w:p>
      <w:pPr>
        <w:pStyle w:val="ListeParagraf"/>
        <w:bidi/>
        <w:spacing w:after="80"/>
        <w:ind w:left="0" w:right="709"/>
        <w:jc w:val="both"/>
      </w:pPr>
    </w:p>
    <w:p>
      <w:pPr>
        <w:pStyle w:val="ListeParagraf"/>
        <w:bidi/>
        <w:spacing w:before="120" w:after="60"/>
        <w:ind w:left="0" w:right="709"/>
      </w:pPr>
      <w:r>
        <w:rPr>
          <w:rFonts w:ascii="Calibri" w:hAnsi="Calibri" w:cs="Arial"/>
          <w:b/>
          <w:bCs/>
          <w:rtl/>
          <w:sz w:val="24"/>
          <w:szCs w:val="24"/>
        </w:rPr>
        <w:t xml:space="preserve">5. عدم المطابقة والاستدعاء</w:t>
      </w:r>
    </w:p>
    <w:p>
      <w:pPr>
        <w:pStyle w:val="ListeParagraf"/>
        <w:bidi/>
        <w:spacing w:after="80"/>
        <w:ind w:left="0" w:right="709"/>
        <w:jc w:val="both"/>
      </w:pPr>
      <w:r>
        <w:rPr>
          <w:rFonts w:ascii="Calibri" w:hAnsi="Calibri" w:cs="Arial"/>
          <w:rtl/>
          <w:sz w:val="24"/>
          <w:szCs w:val="24"/>
        </w:rPr>
        <w:t xml:space="preserve">5.1. ملصق الدفعة الخاطئ أو المفقود أو المكرر أو غير المقروء، والدفعة المختلطة، والسجل غير المطابق للدفعة هي حالات عدم مطابقة. تُحجز الدفعة وتُفحص مجدداً بنسبة 100% وتُعاد تعليمها تحت مراقبة ضمان الجودة.</w:t>
      </w:r>
    </w:p>
    <w:p>
      <w:pPr>
        <w:pStyle w:val="ListeParagraf"/>
        <w:bidi/>
        <w:spacing w:after="80"/>
        <w:ind w:left="0" w:right="709"/>
        <w:jc w:val="both"/>
      </w:pPr>
      <w:r>
        <w:rPr>
          <w:rFonts w:ascii="Calibri" w:hAnsi="Calibri" w:cs="Arial"/>
          <w:rtl/>
          <w:sz w:val="24"/>
          <w:szCs w:val="24"/>
        </w:rPr>
        <w:t xml:space="preserve">5.2. يُفتح تقرير عدم مطابقة (NCR) وفق EMS.QA.PRO.02.06؛ ويُعالج المنتج وفق EMS.KS.PRO.22.02. ويبدأ تحليل السبب الجذري خلال 24 ساعة ويُفتح إجراء تصحيحي ووقائي (CAPA) وفق EMS.KS.PRO.22.03.</w:t>
      </w:r>
    </w:p>
    <w:p>
      <w:pPr>
        <w:pStyle w:val="ListeParagraf"/>
        <w:bidi/>
        <w:spacing w:after="80"/>
        <w:ind w:left="0" w:right="709"/>
        <w:jc w:val="both"/>
      </w:pPr>
      <w:r>
        <w:rPr>
          <w:rFonts w:ascii="Calibri" w:hAnsi="Calibri" w:cs="Arial"/>
          <w:rtl/>
          <w:sz w:val="24"/>
          <w:szCs w:val="24"/>
        </w:rPr>
        <w:t xml:space="preserve">5.3. عند الشكوى أو ملاحظة العميل أو الاستدعاء يستخدم ضمان الجودة سجلات الدفعات لتحديد الدفعات والكراتين والمشاطيح والشحنات المتأثرة خلال المدة المحددة في EMS.QA.PRO.02.08 ويحجزها.</w:t>
      </w:r>
    </w:p>
    <w:p>
      <w:pPr>
        <w:pStyle w:val="ListeParagraf"/>
        <w:bidi/>
        <w:spacing w:after="80"/>
        <w:ind w:left="0" w:right="709"/>
        <w:jc w:val="both"/>
      </w:pPr>
    </w:p>
    <w:p>
      <w:pPr>
        <w:pStyle w:val="ListeParagraf"/>
        <w:bidi/>
        <w:spacing w:before="120" w:after="60"/>
        <w:ind w:left="0" w:right="709"/>
      </w:pPr>
      <w:r>
        <w:rPr>
          <w:rFonts w:ascii="Calibri" w:hAnsi="Calibri" w:cs="Arial"/>
          <w:b/>
          <w:bCs/>
          <w:rtl/>
          <w:sz w:val="24"/>
          <w:szCs w:val="24"/>
        </w:rPr>
        <w:t xml:space="preserve">6. السجلات</w:t>
      </w:r>
    </w:p>
    <w:p>
      <w:pPr>
        <w:pStyle w:val="ListeParagraf"/>
        <w:bidi/>
        <w:spacing w:after="80"/>
        <w:ind w:left="0" w:right="709"/>
        <w:jc w:val="both"/>
      </w:pPr>
      <w:r>
        <w:rPr>
          <w:rFonts w:ascii="Calibri" w:hAnsi="Calibri" w:cs="Arial"/>
          <w:rtl/>
          <w:sz w:val="24"/>
          <w:szCs w:val="24"/>
        </w:rPr>
        <w:t xml:space="preserve">6.1. يُحتفظ بنموذج سجل الدفعات وملصقات الدفعات (EMS.ÜR.FRM.05.10) ونموذج سجل التتبع (EMS.DP.FRM.08.06) في ملف الطلب وتكون متاحة لضمان الجودة وللعميل عند الطلب.</w:t>
      </w:r>
    </w:p>
    <w:p>
      <w:pPr>
        <w:pStyle w:val="ListeParagraf"/>
        <w:bidi/>
        <w:spacing w:after="80"/>
        <w:ind w:left="0" w:right="709"/>
        <w:jc w:val="both"/>
      </w:pPr>
      <w:r>
        <w:rPr>
          <w:rFonts w:ascii="Calibri" w:hAnsi="Calibri" w:cs="Arial"/>
          <w:rtl/>
          <w:sz w:val="24"/>
          <w:szCs w:val="24"/>
        </w:rPr>
        <w:t xml:space="preserve">6.2. تُحفظ السجلات 5 سنوات على الأقل أو وفق طلب العميل أو القانون. ولا تُعدَّل سجلات الدفعات بعد الإغلاق؛ وتتم التصحيحات بتسجيل موقع ومؤرخ.</w:t>
      </w:r>
    </w:p>
    <w:p>
      <w:pPr>
        <w:pStyle w:val="ListeParagraf"/>
        <w:bidi/>
        <w:spacing w:after="80"/>
        <w:ind w:left="0" w:right="709"/>
        <w:jc w:val="both"/>
      </w:pPr>
    </w:p>
    <w:p>
      <w:pPr>
        <w:pStyle w:val="ListeParagraf"/>
        <w:bidi/>
        <w:spacing w:before="120" w:after="60"/>
        <w:ind w:left="0" w:right="709"/>
      </w:pPr>
      <w:r>
        <w:rPr>
          <w:rFonts w:ascii="Calibri" w:hAnsi="Calibri" w:cs="Arial"/>
          <w:b/>
          <w:bCs/>
          <w:rtl/>
          <w:sz w:val="24"/>
          <w:szCs w:val="24"/>
        </w:rPr>
        <w:t xml:space="preserve">الوثائق والسجلات ذات الصلة</w:t>
      </w:r>
    </w:p>
    <w:p>
      <w:pPr>
        <w:pStyle w:val="ListeParagraf"/>
        <w:numPr>
          <w:ilvl w:val="0"/>
          <w:numId w:val="1"/>
        </w:numPr>
        <w:bidi/>
        <w:spacing w:after="60"/>
        <w:jc w:val="both"/>
      </w:pPr>
      <w:r>
        <w:rPr>
          <w:rFonts w:ascii="Calibri" w:hAnsi="Calibri" w:cs="Arial"/>
          <w:rtl/>
          <w:sz w:val="24"/>
          <w:szCs w:val="24"/>
        </w:rPr>
        <w:t xml:space="preserve">EMS.QA.PRO.02.08. إجراء التتبع واستدعاء المنتج؛ EMS.QA.PRO.02.14. إجراء الفحص النهائي والإفراج قبل الشحن؛ EMS.QA.PRO.02.09. إجراء فحص الجودة (الوارد وأثناء الإنتاج وAQL النهائي)</w:t>
      </w:r>
    </w:p>
    <w:p>
      <w:pPr>
        <w:pStyle w:val="ListeParagraf"/>
        <w:numPr>
          <w:ilvl w:val="0"/>
          <w:numId w:val="1"/>
        </w:numPr>
        <w:bidi/>
        <w:spacing w:after="60"/>
        <w:jc w:val="both"/>
      </w:pPr>
      <w:r>
        <w:rPr>
          <w:rFonts w:ascii="Calibri" w:hAnsi="Calibri" w:cs="Arial"/>
          <w:rtl/>
          <w:sz w:val="24"/>
          <w:szCs w:val="24"/>
        </w:rPr>
        <w:t xml:space="preserve">EMS.ÜR.PRO.05.10. إجراء الكي والمراقبة النهائية والتعبئة؛ EMS.ÜR.PRO.05.11. إجراء التعبئة ووضع الملصقات؛ EMS.ÜR.TL.05.14. تعليمات ترقيم دفعات المنتج النهائي ووضع ملصقاتها</w:t>
      </w:r>
    </w:p>
    <w:p>
      <w:pPr>
        <w:pStyle w:val="ListeParagraf"/>
        <w:numPr>
          <w:ilvl w:val="0"/>
          <w:numId w:val="1"/>
        </w:numPr>
        <w:bidi/>
        <w:spacing w:after="60"/>
        <w:jc w:val="both"/>
      </w:pPr>
      <w:r>
        <w:rPr>
          <w:rFonts w:ascii="Calibri" w:hAnsi="Calibri" w:cs="Arial"/>
          <w:rtl/>
          <w:sz w:val="24"/>
          <w:szCs w:val="24"/>
        </w:rPr>
        <w:t xml:space="preserve">EMS.SO.PRO.23.07. إجراء تشغيل قياسي – تعبئة الكراتين وتجهيز الشحنة؛ EMS.DP.TL.08.04. تعليمات وسم الكراتين ووضع الملصقات وقائمة التعبئة</w:t>
      </w:r>
    </w:p>
    <w:p>
      <w:pPr>
        <w:pStyle w:val="ListeParagraf"/>
        <w:numPr>
          <w:ilvl w:val="0"/>
          <w:numId w:val="1"/>
        </w:numPr>
        <w:bidi/>
        <w:spacing w:after="60"/>
        <w:jc w:val="both"/>
      </w:pPr>
      <w:r>
        <w:rPr>
          <w:rFonts w:ascii="Calibri" w:hAnsi="Calibri" w:cs="Arial"/>
          <w:rtl/>
          <w:sz w:val="24"/>
          <w:szCs w:val="24"/>
        </w:rPr>
        <w:t xml:space="preserve">EMS.QA.PRO.02.06. إجراء تقرير عدم المطابقة (NCR)؛ EMS.KS.PRO.22.02. إجراء مراقبة المنتج غير المطابق؛ EMS.KS.PRO.22.03. إجراء الإجراءات التصحيحية والوقائية (CAPA) لمشاكل الجودة</w:t>
      </w:r>
    </w:p>
    <w:p>
      <w:pPr>
        <w:pStyle w:val="ListeParagraf"/>
        <w:numPr>
          <w:ilvl w:val="0"/>
          <w:numId w:val="1"/>
        </w:numPr>
        <w:bidi/>
        <w:spacing w:after="60"/>
        <w:jc w:val="both"/>
      </w:pPr>
      <w:r>
        <w:rPr>
          <w:rFonts w:ascii="Calibri" w:hAnsi="Calibri" w:cs="Arial"/>
          <w:rtl/>
          <w:sz w:val="24"/>
          <w:szCs w:val="24"/>
        </w:rPr>
        <w:t xml:space="preserve">EMS.ÜR.FRM.05.10 نموذج سجل الدفعات وملصقات الدفعات؛ EMS.ÜR.FRM.05.11 نموذج مراقبة ترتيب الكراتين وقائمة التعبئة؛ EMS.ÜR.FRM.05.07 نموذج مراقبة التعبئة؛ EMS.DP.FRM.08.06 نموذج سجل التتبع؛ EMS.DP.FRM.08.04 نموذج مراقبة التحميل</w:t>
      </w:r>
    </w:p>
    <w:p>
      <w:pPr>
        <w:pStyle w:val="ListeParagraf"/>
        <w:numPr>
          <w:ilvl w:val="0"/>
          <w:numId w:val="1"/>
        </w:numPr>
        <w:bidi/>
        <w:spacing w:after="60"/>
        <w:jc w:val="both"/>
      </w:pPr>
      <w:r>
        <w:rPr>
          <w:rFonts w:ascii="Calibri" w:hAnsi="Calibri" w:cs="Arial"/>
          <w:rtl/>
          <w:sz w:val="24"/>
          <w:szCs w:val="24"/>
        </w:rPr>
        <w:t xml:space="preserve">المعايير: ISO 9001:2015 (البند 8.5.2 التعريف والتتبع)</w:t>
      </w:r>
    </w:p>
    <w:p>
      <w:pPr>
        <w:pStyle w:val="ListeParagraf"/>
        <w:bidi/>
        <w:spacing w:after="80"/>
        <w:ind w:left="0" w:right="709"/>
        <w:jc w:val="both"/>
      </w:pPr>
    </w:p>
    <w:p>
      <w:pPr>
        <w:pStyle w:val="ListeParagraf"/>
        <w:bidi/>
        <w:spacing w:before="120" w:after="60"/>
        <w:ind w:left="0" w:right="709"/>
      </w:pPr>
      <w:r>
        <w:rPr>
          <w:rFonts w:ascii="Calibri" w:hAnsi="Calibri" w:cs="Arial"/>
          <w:b/>
          <w:bCs/>
          <w:rtl/>
          <w:sz w:val="24"/>
          <w:szCs w:val="24"/>
        </w:rPr>
        <w:t xml:space="preserve">التغذية الراجعة والمتابعة</w:t>
      </w:r>
    </w:p>
    <w:p>
      <w:pPr>
        <w:pStyle w:val="ListeParagraf"/>
        <w:bidi/>
        <w:spacing w:after="80"/>
        <w:ind w:left="0" w:right="709"/>
        <w:jc w:val="both"/>
      </w:pPr>
      <w:r>
        <w:rPr>
          <w:rFonts w:ascii="Calibri" w:hAnsi="Calibri" w:cs="Arial"/>
          <w:rtl/>
          <w:sz w:val="24"/>
          <w:szCs w:val="24"/>
        </w:rPr>
        <w:t xml:space="preserve">يراجع ضمان الجودة سجلات الدفعات شهرياً: أخطاء ملصقات الدفعات (الهدف صفر)، والدفعات المختلطة أو غير المعلمة المكتشفة في الفحص النهائي (الهدف صفر)، والزمن اللازم لتحديد دفعة في اختبار التتبع (الهدف خلال 4 ساعات)، ونسبة الدفعات ذات سجلات التتبع الكاملة (الهدف 100%). ويُجرى اختبار تتبع بدفعة واحدة مرة واحدة سنوياً على الأقل مع EMS.QA.PRO.02.08. يُراجع هذا الإجراء مرة واحدة سنوياً على الأقل أو عند تغير العملية أو متطلبات العميل أو المعايير.</w:t>
      </w:r>
    </w:p>
    <w:p w14:paraId="09C717F6" w14:textId="77777777" w:rsidR="00492105" w:rsidRDefault="00492105" w:rsidP="00E34A01">
      <w:pPr>
        <w:pStyle w:val="ListeParagraf"/>
        <w:ind w:left="709"/>
        <w:rPr>
          <w:rFonts w:ascii="Calibri" w:hAnsi="Calibri" w:cs="Calibri"/>
          <w:sz w:val="24"/>
          <w:szCs w:val="24"/>
        </w:rPr>
      </w:pPr>
    </w:p>
    <w:p w14:paraId="398C0755" w14:textId="3C545F43" w:rsidR="00492105" w:rsidRPr="00492105" w:rsidRDefault="00492105" w:rsidP="00E34A01">
      <w:pPr>
        <w:pStyle w:val="ListeParagraf"/>
        <w:ind w:left="709"/>
        <w:rPr>
          <w:rFonts w:ascii="Calibri" w:hAnsi="Calibri" w:cs="Calibri"/>
          <w:b/>
          <w:bCs/>
          <w:sz w:val="24"/>
          <w:szCs w:val="24"/>
        </w:rPr>
      </w:pPr>
      <w:r w:rsidRPr="00492105">
        <w:rPr>
          <w:rFonts w:ascii="Calibri" w:hAnsi="Calibri" w:cs="Calibri"/>
          <w:b/>
          <w:bCs/>
          <w:sz w:val="24"/>
          <w:szCs w:val="24"/>
        </w:rPr>
        <w:t>ONAYLAYANLAR:</w:t>
      </w:r>
    </w:p>
    <w:tbl>
      <w:tblPr>
        <w:tblW w:w="10080" w:type="dxa"/>
        <w:tblInd w:w="629" w:type="dxa"/>
        <w:tblLook w:val="04A0" w:firstRow="1" w:lastRow="0" w:firstColumn="1" w:lastColumn="0" w:noHBand="0" w:noVBand="1"/>
      </w:tblPr>
      <w:tblGrid>
        <w:gridCol w:w="2340"/>
        <w:gridCol w:w="240"/>
        <w:gridCol w:w="2340"/>
        <w:gridCol w:w="240"/>
        <w:gridCol w:w="2340"/>
        <w:gridCol w:w="240"/>
        <w:gridCol w:w="2340"/>
      </w:tblGrid>
      <w:tr w:rsidR="00492105" w:rsidRPr="00892FF4" w14:paraId="54FA6C08" w14:textId="77777777" w:rsidTr="00CC5D8D">
        <w:trPr>
          <w:trHeight w:val="291"/>
        </w:trPr>
        <w:tc>
          <w:tcPr>
            <w:tcW w:w="2340" w:type="dxa"/>
            <w:tcBorders>
              <w:top w:val="nil"/>
              <w:left w:val="nil"/>
              <w:bottom w:val="single" w:sz="4" w:space="0" w:color="auto"/>
              <w:right w:val="nil"/>
            </w:tcBorders>
            <w:vAlign w:val="bottom"/>
          </w:tcPr>
          <w:p w14:paraId="3217A91A" w14:textId="77777777" w:rsidR="00492105" w:rsidRPr="000C2D4C" w:rsidRDefault="00492105" w:rsidP="00CC5D8D">
            <w:pPr>
              <w:spacing w:after="0" w:line="240" w:lineRule="auto"/>
              <w:jc w:val="center"/>
              <w:rPr>
                <w:rFonts w:ascii="Calibri" w:eastAsia="Times New Roman" w:hAnsi="Calibri" w:cs="Calibri"/>
                <w:b/>
                <w:bCs/>
                <w:color w:val="000000"/>
                <w:sz w:val="2"/>
                <w:szCs w:val="2"/>
                <w:lang w:val="en-GB" w:eastAsia="en-GB"/>
              </w:rPr>
            </w:pPr>
          </w:p>
        </w:tc>
        <w:tc>
          <w:tcPr>
            <w:tcW w:w="240" w:type="dxa"/>
            <w:tcBorders>
              <w:top w:val="nil"/>
              <w:left w:val="nil"/>
              <w:bottom w:val="nil"/>
              <w:right w:val="nil"/>
            </w:tcBorders>
            <w:noWrap/>
            <w:vAlign w:val="bottom"/>
          </w:tcPr>
          <w:p w14:paraId="50BF1227" w14:textId="77777777" w:rsidR="00492105" w:rsidRPr="00892FF4" w:rsidRDefault="00492105" w:rsidP="00CC5D8D">
            <w:pPr>
              <w:spacing w:after="0" w:line="240" w:lineRule="auto"/>
              <w:jc w:val="center"/>
              <w:rPr>
                <w:rFonts w:ascii="Calibri" w:eastAsia="Times New Roman" w:hAnsi="Calibri" w:cs="Calibri"/>
                <w:b/>
                <w:bCs/>
                <w:color w:val="000000"/>
                <w:lang w:val="en-GB" w:eastAsia="en-GB"/>
              </w:rPr>
            </w:pPr>
          </w:p>
        </w:tc>
        <w:tc>
          <w:tcPr>
            <w:tcW w:w="2340" w:type="dxa"/>
            <w:tcBorders>
              <w:top w:val="nil"/>
              <w:left w:val="nil"/>
              <w:bottom w:val="single" w:sz="4" w:space="0" w:color="auto"/>
              <w:right w:val="nil"/>
            </w:tcBorders>
            <w:vAlign w:val="center"/>
          </w:tcPr>
          <w:p w14:paraId="4D2843E0" w14:textId="77777777" w:rsidR="00492105" w:rsidRPr="000326A8" w:rsidRDefault="00492105" w:rsidP="00CC5D8D">
            <w:pPr>
              <w:spacing w:after="0" w:line="240" w:lineRule="auto"/>
              <w:jc w:val="center"/>
              <w:rPr>
                <w:rFonts w:ascii="Calibri" w:eastAsia="Times New Roman" w:hAnsi="Calibri" w:cs="Calibri"/>
                <w:b/>
                <w:bCs/>
                <w:color w:val="000000"/>
                <w:sz w:val="19"/>
                <w:szCs w:val="19"/>
                <w:lang w:val="en-GB" w:eastAsia="en-GB"/>
              </w:rPr>
            </w:pPr>
          </w:p>
        </w:tc>
        <w:tc>
          <w:tcPr>
            <w:tcW w:w="240" w:type="dxa"/>
            <w:tcBorders>
              <w:top w:val="nil"/>
              <w:left w:val="nil"/>
              <w:bottom w:val="nil"/>
              <w:right w:val="nil"/>
            </w:tcBorders>
            <w:noWrap/>
            <w:vAlign w:val="bottom"/>
          </w:tcPr>
          <w:p w14:paraId="1CC0BCD2" w14:textId="77777777" w:rsidR="00492105" w:rsidRPr="00892FF4" w:rsidRDefault="00492105" w:rsidP="00CC5D8D">
            <w:pPr>
              <w:spacing w:after="0" w:line="240" w:lineRule="auto"/>
              <w:jc w:val="center"/>
              <w:rPr>
                <w:rFonts w:ascii="Calibri" w:eastAsia="Times New Roman" w:hAnsi="Calibri" w:cs="Calibri"/>
                <w:b/>
                <w:bCs/>
                <w:color w:val="000000"/>
                <w:lang w:val="en-GB" w:eastAsia="en-GB"/>
              </w:rPr>
            </w:pPr>
          </w:p>
        </w:tc>
        <w:tc>
          <w:tcPr>
            <w:tcW w:w="2340" w:type="dxa"/>
            <w:tcBorders>
              <w:top w:val="nil"/>
              <w:left w:val="nil"/>
              <w:bottom w:val="single" w:sz="4" w:space="0" w:color="auto"/>
              <w:right w:val="nil"/>
            </w:tcBorders>
            <w:vAlign w:val="center"/>
          </w:tcPr>
          <w:p w14:paraId="291892F7" w14:textId="77777777" w:rsidR="00492105" w:rsidRPr="000326A8" w:rsidRDefault="00492105" w:rsidP="00CC5D8D">
            <w:pPr>
              <w:spacing w:after="0" w:line="240" w:lineRule="auto"/>
              <w:jc w:val="center"/>
              <w:rPr>
                <w:rFonts w:ascii="Calibri" w:eastAsia="Times New Roman" w:hAnsi="Calibri" w:cs="Calibri"/>
                <w:b/>
                <w:bCs/>
                <w:color w:val="000000"/>
                <w:sz w:val="19"/>
                <w:szCs w:val="19"/>
                <w:lang w:val="en-GB" w:eastAsia="en-GB"/>
              </w:rPr>
            </w:pPr>
          </w:p>
        </w:tc>
        <w:tc>
          <w:tcPr>
            <w:tcW w:w="240" w:type="dxa"/>
            <w:tcBorders>
              <w:top w:val="nil"/>
              <w:left w:val="nil"/>
              <w:bottom w:val="nil"/>
              <w:right w:val="nil"/>
            </w:tcBorders>
            <w:noWrap/>
            <w:vAlign w:val="bottom"/>
          </w:tcPr>
          <w:p w14:paraId="2ECADCEE" w14:textId="77777777" w:rsidR="00492105" w:rsidRPr="00892FF4" w:rsidRDefault="00492105" w:rsidP="00CC5D8D">
            <w:pPr>
              <w:spacing w:after="0" w:line="240" w:lineRule="auto"/>
              <w:jc w:val="center"/>
              <w:rPr>
                <w:rFonts w:ascii="Calibri" w:eastAsia="Times New Roman" w:hAnsi="Calibri" w:cs="Calibri"/>
                <w:b/>
                <w:bCs/>
                <w:color w:val="000000"/>
                <w:lang w:val="en-GB" w:eastAsia="en-GB"/>
              </w:rPr>
            </w:pPr>
          </w:p>
        </w:tc>
        <w:tc>
          <w:tcPr>
            <w:tcW w:w="2340" w:type="dxa"/>
            <w:tcBorders>
              <w:top w:val="nil"/>
              <w:left w:val="nil"/>
              <w:bottom w:val="single" w:sz="4" w:space="0" w:color="auto"/>
              <w:right w:val="nil"/>
            </w:tcBorders>
            <w:vAlign w:val="bottom"/>
          </w:tcPr>
          <w:p w14:paraId="378A7013" w14:textId="77777777" w:rsidR="00492105" w:rsidRPr="000326A8" w:rsidRDefault="00492105" w:rsidP="00CC5D8D">
            <w:pPr>
              <w:spacing w:after="0" w:line="240" w:lineRule="auto"/>
              <w:jc w:val="center"/>
              <w:rPr>
                <w:rFonts w:ascii="Calibri" w:eastAsia="Times New Roman" w:hAnsi="Calibri" w:cs="Calibri"/>
                <w:b/>
                <w:bCs/>
                <w:color w:val="000000"/>
                <w:sz w:val="19"/>
                <w:szCs w:val="19"/>
                <w:lang w:val="en-GB" w:eastAsia="en-GB"/>
              </w:rPr>
            </w:pPr>
          </w:p>
        </w:tc>
      </w:tr>
      <w:tr w:rsidR="00492105" w:rsidRPr="00892FF4" w14:paraId="21C65BCE" w14:textId="77777777" w:rsidTr="00CC5D8D">
        <w:trPr>
          <w:trHeight w:val="466"/>
        </w:trPr>
        <w:tc>
          <w:tcPr>
            <w:tcW w:w="2340" w:type="dxa"/>
            <w:tcBorders>
              <w:top w:val="single" w:sz="4" w:space="0" w:color="auto"/>
              <w:left w:val="single" w:sz="4" w:space="0" w:color="auto"/>
              <w:bottom w:val="single" w:sz="4" w:space="0" w:color="auto"/>
              <w:right w:val="single" w:sz="4" w:space="0" w:color="auto"/>
            </w:tcBorders>
            <w:vAlign w:val="bottom"/>
          </w:tcPr>
          <w:p w14:paraId="260F54A9" w14:textId="77777777" w:rsidR="00492105" w:rsidRPr="00792717" w:rsidRDefault="00492105" w:rsidP="00CC5D8D">
            <w:pPr>
              <w:spacing w:after="0" w:line="240" w:lineRule="auto"/>
              <w:jc w:val="center"/>
              <w:rPr>
                <w:rFonts w:ascii="Calibri" w:eastAsia="Times New Roman" w:hAnsi="Calibri" w:cs="Calibri"/>
                <w:color w:val="000000"/>
                <w:sz w:val="18"/>
                <w:szCs w:val="18"/>
                <w:lang w:eastAsia="en-GB"/>
              </w:rPr>
            </w:pPr>
            <w:r w:rsidRPr="00792717">
              <w:rPr>
                <w:rFonts w:ascii="Calibri" w:eastAsia="Times New Roman" w:hAnsi="Calibri" w:cs="Calibri"/>
                <w:color w:val="000000"/>
                <w:sz w:val="18"/>
                <w:szCs w:val="18"/>
                <w:lang w:eastAsia="en-GB"/>
              </w:rPr>
              <w:t xml:space="preserve">Strateji ve Süreç Geliştirme Müdürü                </w:t>
            </w:r>
            <w:r w:rsidRPr="00792717">
              <w:rPr>
                <w:rFonts w:ascii="Calibri" w:eastAsia="Times New Roman" w:hAnsi="Calibri" w:cs="Calibri"/>
                <w:color w:val="000000"/>
                <w:sz w:val="18"/>
                <w:szCs w:val="18"/>
                <w:lang w:eastAsia="en-GB"/>
              </w:rPr>
              <w:br/>
            </w:r>
            <w:r w:rsidRPr="00792717">
              <w:rPr>
                <w:rFonts w:ascii="Calibri" w:eastAsia="Times New Roman" w:hAnsi="Calibri" w:cs="Calibri"/>
                <w:b/>
                <w:bCs/>
                <w:color w:val="000000"/>
                <w:sz w:val="18"/>
                <w:szCs w:val="18"/>
                <w:lang w:eastAsia="en-GB"/>
              </w:rPr>
              <w:t>BAHAR YILDIRIM</w:t>
            </w:r>
          </w:p>
        </w:tc>
        <w:tc>
          <w:tcPr>
            <w:tcW w:w="240" w:type="dxa"/>
            <w:tcBorders>
              <w:top w:val="nil"/>
              <w:left w:val="nil"/>
              <w:bottom w:val="nil"/>
              <w:right w:val="nil"/>
            </w:tcBorders>
            <w:noWrap/>
            <w:vAlign w:val="bottom"/>
          </w:tcPr>
          <w:p w14:paraId="352FA47F" w14:textId="77777777" w:rsidR="00492105" w:rsidRPr="00792717" w:rsidRDefault="00492105" w:rsidP="00CC5D8D">
            <w:pPr>
              <w:spacing w:after="0" w:line="240" w:lineRule="auto"/>
              <w:jc w:val="center"/>
              <w:rPr>
                <w:rFonts w:ascii="Calibri" w:eastAsia="Times New Roman" w:hAnsi="Calibri" w:cs="Calibri"/>
                <w:color w:val="000000"/>
                <w:sz w:val="18"/>
                <w:szCs w:val="18"/>
                <w:lang w:eastAsia="en-GB"/>
              </w:rPr>
            </w:pPr>
          </w:p>
        </w:tc>
        <w:tc>
          <w:tcPr>
            <w:tcW w:w="2340" w:type="dxa"/>
            <w:tcBorders>
              <w:top w:val="single" w:sz="4" w:space="0" w:color="auto"/>
              <w:left w:val="single" w:sz="4" w:space="0" w:color="auto"/>
              <w:bottom w:val="single" w:sz="4" w:space="0" w:color="auto"/>
              <w:right w:val="single" w:sz="4" w:space="0" w:color="auto"/>
            </w:tcBorders>
            <w:vAlign w:val="bottom"/>
          </w:tcPr>
          <w:p w14:paraId="7FC67273" w14:textId="77777777" w:rsidR="00492105" w:rsidRPr="00792717" w:rsidRDefault="00492105" w:rsidP="00CC5D8D">
            <w:pPr>
              <w:spacing w:after="0" w:line="240" w:lineRule="auto"/>
              <w:jc w:val="center"/>
              <w:rPr>
                <w:rFonts w:ascii="Calibri" w:eastAsia="Times New Roman" w:hAnsi="Calibri" w:cs="Calibri"/>
                <w:color w:val="000000"/>
                <w:sz w:val="18"/>
                <w:szCs w:val="18"/>
                <w:lang w:eastAsia="en-GB"/>
              </w:rPr>
            </w:pPr>
            <w:r w:rsidRPr="00792717">
              <w:rPr>
                <w:rFonts w:ascii="Calibri" w:eastAsia="Times New Roman" w:hAnsi="Calibri" w:cs="Calibri"/>
                <w:color w:val="000000"/>
                <w:sz w:val="18"/>
                <w:szCs w:val="18"/>
                <w:lang w:eastAsia="en-GB"/>
              </w:rPr>
              <w:t>İnsan Kaynakları Grup Müdürü</w:t>
            </w:r>
            <w:r w:rsidRPr="00792717">
              <w:rPr>
                <w:rFonts w:ascii="Calibri" w:eastAsia="Times New Roman" w:hAnsi="Calibri" w:cs="Calibri"/>
                <w:b/>
                <w:bCs/>
                <w:color w:val="000000"/>
                <w:sz w:val="18"/>
                <w:szCs w:val="18"/>
                <w:lang w:eastAsia="en-GB"/>
              </w:rPr>
              <w:br/>
              <w:t>ALİ KAAN GENÇ</w:t>
            </w:r>
          </w:p>
        </w:tc>
        <w:tc>
          <w:tcPr>
            <w:tcW w:w="240" w:type="dxa"/>
            <w:tcBorders>
              <w:top w:val="nil"/>
              <w:left w:val="nil"/>
              <w:bottom w:val="nil"/>
              <w:right w:val="nil"/>
            </w:tcBorders>
            <w:noWrap/>
            <w:vAlign w:val="bottom"/>
            <w:hideMark/>
          </w:tcPr>
          <w:p w14:paraId="7B21AF91" w14:textId="77777777" w:rsidR="00492105" w:rsidRPr="00792717" w:rsidRDefault="00492105" w:rsidP="00CC5D8D">
            <w:pPr>
              <w:spacing w:after="0" w:line="240" w:lineRule="auto"/>
              <w:jc w:val="center"/>
              <w:rPr>
                <w:rFonts w:ascii="Calibri" w:eastAsia="Times New Roman" w:hAnsi="Calibri" w:cs="Calibri"/>
                <w:color w:val="000000"/>
                <w:sz w:val="18"/>
                <w:szCs w:val="18"/>
                <w:lang w:eastAsia="en-GB"/>
              </w:rPr>
            </w:pPr>
          </w:p>
        </w:tc>
        <w:tc>
          <w:tcPr>
            <w:tcW w:w="2340" w:type="dxa"/>
            <w:tcBorders>
              <w:top w:val="single" w:sz="4" w:space="0" w:color="auto"/>
              <w:left w:val="single" w:sz="4" w:space="0" w:color="auto"/>
              <w:bottom w:val="single" w:sz="4" w:space="0" w:color="auto"/>
              <w:right w:val="single" w:sz="4" w:space="0" w:color="auto"/>
            </w:tcBorders>
            <w:vAlign w:val="bottom"/>
            <w:hideMark/>
          </w:tcPr>
          <w:p w14:paraId="0DF0CACB" w14:textId="703AF90F" w:rsidR="00792717" w:rsidRDefault="00792717" w:rsidP="00792717">
            <w:pPr>
              <w:spacing w:after="0" w:line="240" w:lineRule="auto"/>
              <w:rPr>
                <w:rFonts w:ascii="Calibri" w:eastAsia="Times New Roman" w:hAnsi="Calibri" w:cs="Calibri"/>
                <w:color w:val="000000"/>
                <w:sz w:val="18"/>
                <w:szCs w:val="18"/>
                <w:lang w:eastAsia="en-GB"/>
              </w:rPr>
            </w:pPr>
            <w:r w:rsidR="008D54D7">
              <w:rPr>
                <w:rFonts w:ascii="Calibri" w:eastAsia="Times New Roman" w:hAnsi="Calibri" w:cs="Calibri"/>
                <w:noProof/>
                <w:color w:val="000000"/>
                <w:lang w:val="en-GB" w:eastAsia="en-GB"/>
              </w:rPr>
              <w:t>Kalite Güvence Müdürü</w:t>
            </w:r>
          </w:p>
          <w:p w14:paraId="3B46FFE6" w14:textId="443F423D" w:rsidR="00492105" w:rsidRPr="00792717" w:rsidRDefault="00492105" w:rsidP="00792717">
            <w:pPr>
              <w:spacing w:after="0" w:line="240" w:lineRule="auto"/>
              <w:jc w:val="center"/>
              <w:rPr>
                <w:rFonts w:ascii="Calibri" w:eastAsia="Times New Roman" w:hAnsi="Calibri" w:cs="Calibri"/>
                <w:b/>
                <w:bCs/>
                <w:color w:val="000000"/>
                <w:sz w:val="18"/>
                <w:szCs w:val="18"/>
                <w:lang w:val="en-GB" w:eastAsia="en-GB"/>
              </w:rPr>
            </w:pPr>
            <w:r w:rsidRPr="00305ADA">
              <w:rPr>
                <w:rFonts w:ascii="Calibri" w:eastAsia="Times New Roman" w:hAnsi="Calibri" w:cs="Calibri"/>
                <w:b/>
                <w:bCs/>
                <w:color w:val="000000"/>
                <w:sz w:val="18"/>
                <w:szCs w:val="18"/>
                <w:lang w:val="en-GB" w:eastAsia="en-GB"/>
              </w:rPr>
              <w:br/>
            </w:r>
            <w:r w:rsidR="00792717" w:rsidRPr="00792717">
              <w:rPr>
                <w:rFonts w:ascii="Calibri" w:eastAsia="Times New Roman" w:hAnsi="Calibri" w:cs="Calibri"/>
                <w:b/>
                <w:bCs/>
                <w:color w:val="000000"/>
                <w:sz w:val="18"/>
                <w:szCs w:val="18"/>
                <w:lang w:val="en-GB" w:eastAsia="en-GB"/>
              </w:rPr>
              <w:t>ABDULLAH BAYDOĞAN</w:t>
            </w:r>
          </w:p>
        </w:tc>
        <w:tc>
          <w:tcPr>
            <w:tcW w:w="240" w:type="dxa"/>
            <w:tcBorders>
              <w:top w:val="nil"/>
              <w:left w:val="nil"/>
              <w:bottom w:val="nil"/>
              <w:right w:val="nil"/>
            </w:tcBorders>
            <w:noWrap/>
            <w:vAlign w:val="bottom"/>
            <w:hideMark/>
          </w:tcPr>
          <w:p w14:paraId="2DD3F538" w14:textId="77777777" w:rsidR="00492105" w:rsidRPr="00892FF4" w:rsidRDefault="00492105" w:rsidP="00CC5D8D">
            <w:pPr>
              <w:spacing w:after="0" w:line="240" w:lineRule="auto"/>
              <w:jc w:val="center"/>
              <w:rPr>
                <w:rFonts w:ascii="Calibri" w:eastAsia="Times New Roman" w:hAnsi="Calibri" w:cs="Calibri"/>
                <w:color w:val="000000"/>
                <w:sz w:val="18"/>
                <w:szCs w:val="18"/>
                <w:lang w:val="en-GB" w:eastAsia="en-GB"/>
              </w:rPr>
            </w:pPr>
          </w:p>
        </w:tc>
        <w:tc>
          <w:tcPr>
            <w:tcW w:w="2340" w:type="dxa"/>
            <w:tcBorders>
              <w:top w:val="single" w:sz="4" w:space="0" w:color="auto"/>
              <w:left w:val="single" w:sz="4" w:space="0" w:color="auto"/>
              <w:bottom w:val="single" w:sz="4" w:space="0" w:color="auto"/>
              <w:right w:val="single" w:sz="4" w:space="0" w:color="auto"/>
            </w:tcBorders>
            <w:vAlign w:val="bottom"/>
            <w:hideMark/>
          </w:tcPr>
          <w:p w14:paraId="404DEBA6" w14:textId="77777777" w:rsidR="00792717" w:rsidRDefault="00792717" w:rsidP="00792717">
            <w:pPr>
              <w:spacing w:after="0" w:line="240" w:lineRule="auto"/>
              <w:jc w:val="center"/>
              <w:rPr>
                <w:rFonts w:ascii="Calibri" w:eastAsia="Times New Roman" w:hAnsi="Calibri" w:cs="Calibri"/>
                <w:color w:val="000000"/>
                <w:sz w:val="18"/>
                <w:szCs w:val="18"/>
                <w:lang w:val="en-GB" w:eastAsia="en-GB"/>
              </w:rPr>
            </w:pPr>
            <w:r>
              <w:rPr>
                <w:rFonts w:ascii="Calibri" w:eastAsia="Times New Roman" w:hAnsi="Calibri" w:cs="Calibri"/>
                <w:color w:val="000000"/>
                <w:sz w:val="18"/>
                <w:szCs w:val="18"/>
                <w:lang w:val="en-GB" w:eastAsia="en-GB"/>
              </w:rPr>
              <w:t>EMS Genel Müdürü</w:t>
            </w:r>
          </w:p>
          <w:p w14:paraId="5A0F8DF8" w14:textId="67DBE6B9" w:rsidR="00492105" w:rsidRPr="00892FF4" w:rsidRDefault="00492105" w:rsidP="00CC5D8D">
            <w:pPr>
              <w:spacing w:after="0" w:line="240" w:lineRule="auto"/>
              <w:jc w:val="center"/>
              <w:rPr>
                <w:rFonts w:ascii="Calibri" w:eastAsia="Times New Roman" w:hAnsi="Calibri" w:cs="Calibri"/>
                <w:color w:val="000000"/>
                <w:sz w:val="18"/>
                <w:szCs w:val="18"/>
                <w:lang w:val="en-GB" w:eastAsia="en-GB"/>
              </w:rPr>
            </w:pPr>
            <w:r w:rsidRPr="00305ADA">
              <w:rPr>
                <w:rFonts w:ascii="Calibri" w:eastAsia="Times New Roman" w:hAnsi="Calibri" w:cs="Calibri"/>
                <w:b/>
                <w:bCs/>
                <w:color w:val="000000"/>
                <w:sz w:val="18"/>
                <w:szCs w:val="18"/>
                <w:lang w:val="en-GB" w:eastAsia="en-GB"/>
              </w:rPr>
              <w:br/>
            </w:r>
            <w:r w:rsidR="00792717">
              <w:rPr>
                <w:rFonts w:ascii="Calibri" w:eastAsia="Times New Roman" w:hAnsi="Calibri" w:cs="Calibri"/>
                <w:b/>
                <w:bCs/>
                <w:color w:val="000000"/>
                <w:sz w:val="18"/>
                <w:szCs w:val="18"/>
                <w:lang w:val="en-GB" w:eastAsia="en-GB"/>
              </w:rPr>
              <w:t>FATİH SALBARS</w:t>
            </w:r>
          </w:p>
        </w:tc>
      </w:tr>
      <w:tr w:rsidR="00492105" w:rsidRPr="00892FF4" w14:paraId="44B99370" w14:textId="77777777" w:rsidTr="00CC5D8D">
        <w:trPr>
          <w:trHeight w:val="288"/>
        </w:trPr>
        <w:tc>
          <w:tcPr>
            <w:tcW w:w="2340" w:type="dxa"/>
            <w:vMerge w:val="restart"/>
            <w:tcBorders>
              <w:top w:val="single" w:sz="4" w:space="0" w:color="auto"/>
              <w:left w:val="single" w:sz="4" w:space="0" w:color="auto"/>
              <w:right w:val="single" w:sz="4" w:space="0" w:color="auto"/>
            </w:tcBorders>
            <w:vAlign w:val="bottom"/>
          </w:tcPr>
          <w:p w14:paraId="51BCB937" w14:textId="77777777" w:rsidR="00492105" w:rsidRPr="00892FF4" w:rsidRDefault="00492105" w:rsidP="00CC5D8D">
            <w:pPr>
              <w:spacing w:after="0" w:line="240" w:lineRule="auto"/>
              <w:jc w:val="center"/>
              <w:rPr>
                <w:rFonts w:ascii="Calibri" w:eastAsia="Times New Roman" w:hAnsi="Calibri" w:cs="Calibri"/>
                <w:color w:val="000000"/>
                <w:lang w:val="en-GB" w:eastAsia="en-GB"/>
              </w:rPr>
            </w:pPr>
          </w:p>
        </w:tc>
        <w:tc>
          <w:tcPr>
            <w:tcW w:w="240" w:type="dxa"/>
            <w:tcBorders>
              <w:top w:val="nil"/>
              <w:left w:val="single" w:sz="4" w:space="0" w:color="auto"/>
              <w:bottom w:val="nil"/>
              <w:right w:val="nil"/>
            </w:tcBorders>
            <w:noWrap/>
            <w:vAlign w:val="bottom"/>
          </w:tcPr>
          <w:p w14:paraId="501A427B" w14:textId="77777777" w:rsidR="00492105" w:rsidRPr="00892FF4" w:rsidRDefault="00492105" w:rsidP="00CC5D8D">
            <w:pPr>
              <w:spacing w:after="0" w:line="240" w:lineRule="auto"/>
              <w:jc w:val="center"/>
              <w:rPr>
                <w:rFonts w:ascii="Calibri" w:eastAsia="Times New Roman" w:hAnsi="Calibri" w:cs="Calibri"/>
                <w:color w:val="000000"/>
                <w:lang w:val="en-GB" w:eastAsia="en-GB"/>
              </w:rPr>
            </w:pPr>
          </w:p>
        </w:tc>
        <w:tc>
          <w:tcPr>
            <w:tcW w:w="2340" w:type="dxa"/>
            <w:vMerge w:val="restart"/>
            <w:tcBorders>
              <w:top w:val="single" w:sz="4" w:space="0" w:color="auto"/>
              <w:left w:val="single" w:sz="4" w:space="0" w:color="auto"/>
              <w:bottom w:val="single" w:sz="4" w:space="0" w:color="auto"/>
              <w:right w:val="single" w:sz="4" w:space="0" w:color="auto"/>
            </w:tcBorders>
            <w:vAlign w:val="center"/>
          </w:tcPr>
          <w:p w14:paraId="1A7537CF" w14:textId="77777777" w:rsidR="00492105" w:rsidRPr="00892FF4" w:rsidRDefault="00492105" w:rsidP="00CC5D8D">
            <w:pPr>
              <w:spacing w:after="0" w:line="240" w:lineRule="auto"/>
              <w:jc w:val="center"/>
              <w:rPr>
                <w:rFonts w:ascii="Calibri" w:eastAsia="Times New Roman" w:hAnsi="Calibri" w:cs="Calibri"/>
                <w:color w:val="000000"/>
                <w:lang w:val="en-GB" w:eastAsia="en-GB"/>
              </w:rPr>
            </w:pPr>
            <w:r>
              <w:drawing>
                <wp:inline distT="0" distB="0" distL="0" distR="0">
                  <wp:extent cx="659218" cy="566928"/>
                  <wp:effectExtent l="0" t="0" r="0" b="0"/>
                  <wp:docPr id="900102" name="Imza Ali Kaan Gen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0102" name="Imza Ali Kaan Genc"/>
                          <pic:cNvPicPr/>
                        </pic:nvPicPr>
                        <pic:blipFill>
                          <a:blip r:embed="sigAliKaan"/>
                          <a:stretch>
                            <a:fillRect/>
                          </a:stretch>
                        </pic:blipFill>
                        <pic:spPr>
                          <a:xfrm>
                            <a:off x="0" y="0"/>
                            <a:ext cx="659218" cy="566928"/>
                          </a:xfrm>
                          <a:prstGeom prst="rect">
                            <a:avLst/>
                          </a:prstGeom>
                        </pic:spPr>
                      </pic:pic>
                    </a:graphicData>
                  </a:graphic>
                </wp:inline>
              </w:drawing>
            </w:r>
          </w:p>
        </w:tc>
        <w:tc>
          <w:tcPr>
            <w:tcW w:w="240" w:type="dxa"/>
            <w:tcBorders>
              <w:top w:val="nil"/>
              <w:left w:val="nil"/>
              <w:bottom w:val="nil"/>
              <w:right w:val="nil"/>
            </w:tcBorders>
            <w:noWrap/>
            <w:vAlign w:val="bottom"/>
          </w:tcPr>
          <w:p w14:paraId="1DEAD2D9" w14:textId="5A968D67" w:rsidR="00492105" w:rsidRPr="00892FF4" w:rsidRDefault="00492105" w:rsidP="00CC5D8D">
            <w:pPr>
              <w:spacing w:after="0" w:line="240" w:lineRule="auto"/>
              <w:jc w:val="center"/>
              <w:rPr>
                <w:rFonts w:ascii="Calibri" w:eastAsia="Times New Roman" w:hAnsi="Calibri" w:cs="Calibri"/>
                <w:color w:val="000000"/>
                <w:lang w:val="en-GB" w:eastAsia="en-GB"/>
              </w:rPr>
            </w:pPr>
          </w:p>
        </w:tc>
        <w:tc>
          <w:tcPr>
            <w:tcW w:w="2340" w:type="dxa"/>
            <w:vMerge w:val="restart"/>
            <w:tcBorders>
              <w:top w:val="single" w:sz="4" w:space="0" w:color="auto"/>
              <w:left w:val="single" w:sz="4" w:space="0" w:color="auto"/>
              <w:bottom w:val="single" w:sz="4" w:space="0" w:color="auto"/>
              <w:right w:val="single" w:sz="4" w:space="0" w:color="auto"/>
            </w:tcBorders>
            <w:vAlign w:val="center"/>
          </w:tcPr>
          <w:p w14:paraId="54A78FB8" w14:textId="33A29CBB" w:rsidR="00492105" w:rsidRPr="00892FF4" w:rsidRDefault="00492105" w:rsidP="00CC5D8D">
            <w:pPr>
              <w:spacing w:after="0" w:line="240" w:lineRule="auto"/>
              <w:jc w:val="center"/>
              <w:rPr>
                <w:rFonts w:ascii="Calibri" w:eastAsia="Times New Roman" w:hAnsi="Calibri" w:cs="Calibri"/>
                <w:color w:val="000000"/>
                <w:lang w:val="en-GB" w:eastAsia="en-GB"/>
              </w:rPr>
            </w:pPr>
            <w:r>
              <w:drawing>
                <wp:inline distT="0" distB="0" distL="0" distR="0">
                  <wp:extent cx="850392" cy="566928"/>
                  <wp:effectExtent l="0" t="0" r="0" b="0"/>
                  <wp:docPr id="900104" name="Imza Abdullah Baydoga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0104" name="Imza Abdullah Baydogan"/>
                          <pic:cNvPicPr/>
                        </pic:nvPicPr>
                        <pic:blipFill>
                          <a:blip r:embed="rId9"/>
                          <a:stretch>
                            <a:fillRect/>
                          </a:stretch>
                        </pic:blipFill>
                        <pic:spPr>
                          <a:xfrm>
                            <a:off x="0" y="0"/>
                            <a:ext cx="850392" cy="566928"/>
                          </a:xfrm>
                          <a:prstGeom prst="rect">
                            <a:avLst/>
                          </a:prstGeom>
                        </pic:spPr>
                      </pic:pic>
                    </a:graphicData>
                  </a:graphic>
                </wp:inline>
              </w:drawing>
            </w:r>
          </w:p>
        </w:tc>
        <w:tc>
          <w:tcPr>
            <w:tcW w:w="240" w:type="dxa"/>
            <w:tcBorders>
              <w:top w:val="nil"/>
              <w:left w:val="nil"/>
              <w:bottom w:val="nil"/>
              <w:right w:val="nil"/>
            </w:tcBorders>
            <w:noWrap/>
            <w:vAlign w:val="bottom"/>
          </w:tcPr>
          <w:p w14:paraId="3B416B39" w14:textId="77777777" w:rsidR="00492105" w:rsidRPr="00892FF4" w:rsidRDefault="00492105" w:rsidP="00CC5D8D">
            <w:pPr>
              <w:spacing w:after="0" w:line="240" w:lineRule="auto"/>
              <w:jc w:val="center"/>
              <w:rPr>
                <w:rFonts w:ascii="Calibri" w:eastAsia="Times New Roman" w:hAnsi="Calibri" w:cs="Calibri"/>
                <w:color w:val="000000"/>
                <w:lang w:val="en-GB" w:eastAsia="en-GB"/>
              </w:rPr>
            </w:pPr>
          </w:p>
        </w:tc>
        <w:tc>
          <w:tcPr>
            <w:tcW w:w="2340" w:type="dxa"/>
            <w:vMerge w:val="restart"/>
            <w:tcBorders>
              <w:top w:val="single" w:sz="4" w:space="0" w:color="auto"/>
              <w:left w:val="single" w:sz="4" w:space="0" w:color="auto"/>
              <w:bottom w:val="single" w:sz="4" w:space="0" w:color="auto"/>
              <w:right w:val="single" w:sz="4" w:space="0" w:color="auto"/>
            </w:tcBorders>
            <w:vAlign w:val="center"/>
          </w:tcPr>
          <w:p w14:paraId="57BB3A54" w14:textId="77777777" w:rsidR="00492105" w:rsidRPr="00892FF4" w:rsidRDefault="00492105" w:rsidP="00CC5D8D">
            <w:pPr>
              <w:spacing w:after="0" w:line="240" w:lineRule="auto"/>
              <w:jc w:val="center"/>
              <w:rPr>
                <w:rFonts w:ascii="Calibri" w:eastAsia="Times New Roman" w:hAnsi="Calibri" w:cs="Calibri"/>
                <w:color w:val="000000"/>
                <w:lang w:val="en-GB" w:eastAsia="en-GB"/>
              </w:rPr>
            </w:pPr>
            <w:r>
              <w:drawing>
                <wp:inline distT="0" distB="0" distL="0" distR="0">
                  <wp:extent cx="944879" cy="566928"/>
                  <wp:effectExtent l="0" t="0" r="0" b="0"/>
                  <wp:docPr id="900106" name="Imza Fatih Salbar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0106" name="Imza Fatih Salbars"/>
                          <pic:cNvPicPr/>
                        </pic:nvPicPr>
                        <pic:blipFill>
                          <a:blip r:embed="sigFatih"/>
                          <a:stretch>
                            <a:fillRect/>
                          </a:stretch>
                        </pic:blipFill>
                        <pic:spPr>
                          <a:xfrm>
                            <a:off x="0" y="0"/>
                            <a:ext cx="944879" cy="566928"/>
                          </a:xfrm>
                          <a:prstGeom prst="rect">
                            <a:avLst/>
                          </a:prstGeom>
                        </pic:spPr>
                      </pic:pic>
                    </a:graphicData>
                  </a:graphic>
                </wp:inline>
              </w:drawing>
            </w:r>
          </w:p>
        </w:tc>
      </w:tr>
      <w:tr w:rsidR="00492105" w:rsidRPr="00892FF4" w14:paraId="2F4E587E" w14:textId="77777777" w:rsidTr="00CC5D8D">
        <w:trPr>
          <w:trHeight w:val="288"/>
        </w:trPr>
        <w:tc>
          <w:tcPr>
            <w:tcW w:w="2340" w:type="dxa"/>
            <w:vMerge/>
            <w:tcBorders>
              <w:left w:val="single" w:sz="4" w:space="0" w:color="auto"/>
              <w:right w:val="single" w:sz="4" w:space="0" w:color="auto"/>
            </w:tcBorders>
            <w:vAlign w:val="center"/>
          </w:tcPr>
          <w:p w14:paraId="1E5A113F" w14:textId="77777777" w:rsidR="00492105" w:rsidRPr="00892FF4" w:rsidRDefault="00492105" w:rsidP="00CC5D8D">
            <w:pPr>
              <w:spacing w:after="0" w:line="240" w:lineRule="auto"/>
              <w:rPr>
                <w:rFonts w:ascii="Calibri" w:eastAsia="Times New Roman" w:hAnsi="Calibri" w:cs="Calibri"/>
                <w:color w:val="000000"/>
                <w:lang w:val="en-GB" w:eastAsia="en-GB"/>
              </w:rPr>
            </w:pPr>
          </w:p>
        </w:tc>
        <w:tc>
          <w:tcPr>
            <w:tcW w:w="240" w:type="dxa"/>
            <w:tcBorders>
              <w:top w:val="nil"/>
              <w:left w:val="single" w:sz="4" w:space="0" w:color="auto"/>
              <w:bottom w:val="nil"/>
              <w:right w:val="single" w:sz="4" w:space="0" w:color="auto"/>
            </w:tcBorders>
            <w:noWrap/>
            <w:vAlign w:val="bottom"/>
          </w:tcPr>
          <w:p w14:paraId="00546466" w14:textId="77777777" w:rsidR="00492105" w:rsidRPr="00892FF4" w:rsidRDefault="00492105" w:rsidP="00CC5D8D">
            <w:pPr>
              <w:spacing w:after="0" w:line="240" w:lineRule="auto"/>
              <w:jc w:val="center"/>
              <w:rPr>
                <w:rFonts w:ascii="Calibri" w:eastAsia="Times New Roman" w:hAnsi="Calibri" w:cs="Calibri"/>
                <w:color w:val="000000"/>
                <w:lang w:val="en-GB" w:eastAsia="en-GB"/>
              </w:rPr>
            </w:pPr>
          </w:p>
        </w:tc>
        <w:tc>
          <w:tcPr>
            <w:tcW w:w="2340" w:type="dxa"/>
            <w:vMerge/>
            <w:tcBorders>
              <w:top w:val="nil"/>
              <w:left w:val="single" w:sz="4" w:space="0" w:color="auto"/>
              <w:bottom w:val="nil"/>
              <w:right w:val="single" w:sz="4" w:space="0" w:color="auto"/>
            </w:tcBorders>
            <w:vAlign w:val="center"/>
          </w:tcPr>
          <w:p w14:paraId="409C4D9C" w14:textId="77777777" w:rsidR="00492105" w:rsidRPr="00892FF4" w:rsidRDefault="00492105" w:rsidP="00CC5D8D">
            <w:pPr>
              <w:spacing w:after="0" w:line="240" w:lineRule="auto"/>
              <w:rPr>
                <w:rFonts w:ascii="Calibri" w:eastAsia="Times New Roman" w:hAnsi="Calibri" w:cs="Calibri"/>
                <w:color w:val="000000"/>
                <w:lang w:val="en-GB" w:eastAsia="en-GB"/>
              </w:rPr>
            </w:pPr>
          </w:p>
        </w:tc>
        <w:tc>
          <w:tcPr>
            <w:tcW w:w="240" w:type="dxa"/>
            <w:tcBorders>
              <w:top w:val="nil"/>
              <w:left w:val="single" w:sz="4" w:space="0" w:color="auto"/>
              <w:bottom w:val="nil"/>
              <w:right w:val="single" w:sz="4" w:space="0" w:color="auto"/>
            </w:tcBorders>
            <w:noWrap/>
            <w:vAlign w:val="bottom"/>
          </w:tcPr>
          <w:p w14:paraId="475A2820" w14:textId="77777777" w:rsidR="00492105" w:rsidRPr="00892FF4" w:rsidRDefault="00492105" w:rsidP="00CC5D8D">
            <w:pPr>
              <w:spacing w:after="0" w:line="240" w:lineRule="auto"/>
              <w:rPr>
                <w:rFonts w:ascii="Times New Roman" w:eastAsia="Times New Roman" w:hAnsi="Times New Roman" w:cs="Times New Roman"/>
                <w:sz w:val="20"/>
                <w:szCs w:val="20"/>
                <w:lang w:val="en-GB" w:eastAsia="en-GB"/>
              </w:rPr>
            </w:pPr>
          </w:p>
        </w:tc>
        <w:tc>
          <w:tcPr>
            <w:tcW w:w="2340" w:type="dxa"/>
            <w:vMerge/>
            <w:tcBorders>
              <w:top w:val="nil"/>
              <w:left w:val="single" w:sz="4" w:space="0" w:color="auto"/>
              <w:bottom w:val="nil"/>
              <w:right w:val="single" w:sz="4" w:space="0" w:color="auto"/>
            </w:tcBorders>
            <w:vAlign w:val="center"/>
          </w:tcPr>
          <w:p w14:paraId="68C21C4E" w14:textId="77777777" w:rsidR="00492105" w:rsidRPr="00892FF4" w:rsidRDefault="00492105" w:rsidP="00CC5D8D">
            <w:pPr>
              <w:spacing w:after="0" w:line="240" w:lineRule="auto"/>
              <w:rPr>
                <w:rFonts w:ascii="Calibri" w:eastAsia="Times New Roman" w:hAnsi="Calibri" w:cs="Calibri"/>
                <w:color w:val="000000"/>
                <w:lang w:val="en-GB" w:eastAsia="en-GB"/>
              </w:rPr>
            </w:pPr>
          </w:p>
        </w:tc>
        <w:tc>
          <w:tcPr>
            <w:tcW w:w="240" w:type="dxa"/>
            <w:tcBorders>
              <w:top w:val="nil"/>
              <w:left w:val="single" w:sz="4" w:space="0" w:color="auto"/>
              <w:bottom w:val="nil"/>
              <w:right w:val="single" w:sz="4" w:space="0" w:color="auto"/>
            </w:tcBorders>
            <w:noWrap/>
            <w:vAlign w:val="bottom"/>
          </w:tcPr>
          <w:p w14:paraId="79C4BD84" w14:textId="77777777" w:rsidR="00492105" w:rsidRPr="00892FF4" w:rsidRDefault="00492105" w:rsidP="00CC5D8D">
            <w:pPr>
              <w:spacing w:after="0" w:line="240" w:lineRule="auto"/>
              <w:rPr>
                <w:rFonts w:ascii="Times New Roman" w:eastAsia="Times New Roman" w:hAnsi="Times New Roman" w:cs="Times New Roman"/>
                <w:sz w:val="20"/>
                <w:szCs w:val="20"/>
                <w:lang w:val="en-GB" w:eastAsia="en-GB"/>
              </w:rPr>
            </w:pPr>
          </w:p>
        </w:tc>
        <w:tc>
          <w:tcPr>
            <w:tcW w:w="2340" w:type="dxa"/>
            <w:vMerge/>
            <w:tcBorders>
              <w:top w:val="nil"/>
              <w:left w:val="single" w:sz="4" w:space="0" w:color="auto"/>
              <w:bottom w:val="nil"/>
              <w:right w:val="single" w:sz="4" w:space="0" w:color="auto"/>
            </w:tcBorders>
            <w:vAlign w:val="center"/>
          </w:tcPr>
          <w:p w14:paraId="0BA76159" w14:textId="77777777" w:rsidR="00492105" w:rsidRPr="00892FF4" w:rsidRDefault="00492105" w:rsidP="00CC5D8D">
            <w:pPr>
              <w:spacing w:after="0" w:line="240" w:lineRule="auto"/>
              <w:rPr>
                <w:rFonts w:ascii="Calibri" w:eastAsia="Times New Roman" w:hAnsi="Calibri" w:cs="Calibri"/>
                <w:color w:val="000000"/>
                <w:lang w:val="en-GB" w:eastAsia="en-GB"/>
              </w:rPr>
            </w:pPr>
          </w:p>
        </w:tc>
      </w:tr>
      <w:tr w:rsidR="00492105" w:rsidRPr="00892FF4" w14:paraId="27051B4E" w14:textId="77777777" w:rsidTr="00CC5D8D">
        <w:trPr>
          <w:trHeight w:val="288"/>
        </w:trPr>
        <w:tc>
          <w:tcPr>
            <w:tcW w:w="2340" w:type="dxa"/>
            <w:vMerge/>
            <w:tcBorders>
              <w:left w:val="single" w:sz="4" w:space="0" w:color="auto"/>
              <w:bottom w:val="single" w:sz="4" w:space="0" w:color="auto"/>
              <w:right w:val="single" w:sz="4" w:space="0" w:color="auto"/>
            </w:tcBorders>
            <w:vAlign w:val="center"/>
          </w:tcPr>
          <w:p w14:paraId="6BA5A659" w14:textId="77777777" w:rsidR="00492105" w:rsidRPr="00892FF4" w:rsidRDefault="00492105" w:rsidP="00CC5D8D">
            <w:pPr>
              <w:spacing w:after="0" w:line="240" w:lineRule="auto"/>
              <w:rPr>
                <w:rFonts w:ascii="Calibri" w:eastAsia="Times New Roman" w:hAnsi="Calibri" w:cs="Calibri"/>
                <w:color w:val="000000"/>
                <w:lang w:val="en-GB" w:eastAsia="en-GB"/>
              </w:rPr>
            </w:pPr>
          </w:p>
        </w:tc>
        <w:tc>
          <w:tcPr>
            <w:tcW w:w="240" w:type="dxa"/>
            <w:tcBorders>
              <w:top w:val="nil"/>
              <w:left w:val="single" w:sz="4" w:space="0" w:color="auto"/>
              <w:bottom w:val="nil"/>
              <w:right w:val="single" w:sz="4" w:space="0" w:color="auto"/>
            </w:tcBorders>
            <w:noWrap/>
            <w:vAlign w:val="bottom"/>
          </w:tcPr>
          <w:p w14:paraId="4CEB9699" w14:textId="77777777" w:rsidR="00492105" w:rsidRPr="00892FF4" w:rsidRDefault="00492105" w:rsidP="00CC5D8D">
            <w:pPr>
              <w:spacing w:after="0" w:line="240" w:lineRule="auto"/>
              <w:rPr>
                <w:rFonts w:ascii="Times New Roman" w:eastAsia="Times New Roman" w:hAnsi="Times New Roman" w:cs="Times New Roman"/>
                <w:sz w:val="20"/>
                <w:szCs w:val="20"/>
                <w:lang w:val="en-GB" w:eastAsia="en-GB"/>
              </w:rPr>
            </w:pPr>
          </w:p>
        </w:tc>
        <w:tc>
          <w:tcPr>
            <w:tcW w:w="2340" w:type="dxa"/>
            <w:vMerge/>
            <w:tcBorders>
              <w:top w:val="nil"/>
              <w:left w:val="single" w:sz="4" w:space="0" w:color="auto"/>
              <w:bottom w:val="single" w:sz="4" w:space="0" w:color="auto"/>
              <w:right w:val="single" w:sz="4" w:space="0" w:color="auto"/>
            </w:tcBorders>
            <w:vAlign w:val="center"/>
          </w:tcPr>
          <w:p w14:paraId="04FD4593" w14:textId="77777777" w:rsidR="00492105" w:rsidRPr="00892FF4" w:rsidRDefault="00492105" w:rsidP="00CC5D8D">
            <w:pPr>
              <w:spacing w:after="0" w:line="240" w:lineRule="auto"/>
              <w:rPr>
                <w:rFonts w:ascii="Calibri" w:eastAsia="Times New Roman" w:hAnsi="Calibri" w:cs="Calibri"/>
                <w:color w:val="000000"/>
                <w:lang w:val="en-GB" w:eastAsia="en-GB"/>
              </w:rPr>
            </w:pPr>
          </w:p>
        </w:tc>
        <w:tc>
          <w:tcPr>
            <w:tcW w:w="240" w:type="dxa"/>
            <w:tcBorders>
              <w:top w:val="nil"/>
              <w:left w:val="single" w:sz="4" w:space="0" w:color="auto"/>
              <w:bottom w:val="nil"/>
              <w:right w:val="single" w:sz="4" w:space="0" w:color="auto"/>
            </w:tcBorders>
            <w:noWrap/>
            <w:vAlign w:val="bottom"/>
          </w:tcPr>
          <w:p w14:paraId="0362D1A7" w14:textId="77777777" w:rsidR="00492105" w:rsidRPr="00892FF4" w:rsidRDefault="00492105" w:rsidP="00CC5D8D">
            <w:pPr>
              <w:spacing w:after="0" w:line="240" w:lineRule="auto"/>
              <w:rPr>
                <w:rFonts w:ascii="Times New Roman" w:eastAsia="Times New Roman" w:hAnsi="Times New Roman" w:cs="Times New Roman"/>
                <w:sz w:val="20"/>
                <w:szCs w:val="20"/>
                <w:lang w:val="en-GB" w:eastAsia="en-GB"/>
              </w:rPr>
            </w:pPr>
          </w:p>
        </w:tc>
        <w:tc>
          <w:tcPr>
            <w:tcW w:w="2340" w:type="dxa"/>
            <w:vMerge/>
            <w:tcBorders>
              <w:top w:val="nil"/>
              <w:left w:val="single" w:sz="4" w:space="0" w:color="auto"/>
              <w:bottom w:val="single" w:sz="4" w:space="0" w:color="auto"/>
              <w:right w:val="single" w:sz="4" w:space="0" w:color="auto"/>
            </w:tcBorders>
            <w:vAlign w:val="center"/>
          </w:tcPr>
          <w:p w14:paraId="01119E75" w14:textId="77777777" w:rsidR="00492105" w:rsidRPr="00892FF4" w:rsidRDefault="00492105" w:rsidP="00CC5D8D">
            <w:pPr>
              <w:spacing w:after="0" w:line="240" w:lineRule="auto"/>
              <w:rPr>
                <w:rFonts w:ascii="Calibri" w:eastAsia="Times New Roman" w:hAnsi="Calibri" w:cs="Calibri"/>
                <w:color w:val="000000"/>
                <w:lang w:val="en-GB" w:eastAsia="en-GB"/>
              </w:rPr>
            </w:pPr>
          </w:p>
        </w:tc>
        <w:tc>
          <w:tcPr>
            <w:tcW w:w="240" w:type="dxa"/>
            <w:tcBorders>
              <w:top w:val="nil"/>
              <w:left w:val="single" w:sz="4" w:space="0" w:color="auto"/>
              <w:bottom w:val="nil"/>
              <w:right w:val="single" w:sz="4" w:space="0" w:color="auto"/>
            </w:tcBorders>
            <w:noWrap/>
            <w:vAlign w:val="bottom"/>
          </w:tcPr>
          <w:p w14:paraId="1BF8971E" w14:textId="77777777" w:rsidR="00492105" w:rsidRPr="00892FF4" w:rsidRDefault="00492105" w:rsidP="00CC5D8D">
            <w:pPr>
              <w:spacing w:after="0" w:line="240" w:lineRule="auto"/>
              <w:rPr>
                <w:rFonts w:ascii="Times New Roman" w:eastAsia="Times New Roman" w:hAnsi="Times New Roman" w:cs="Times New Roman"/>
                <w:sz w:val="20"/>
                <w:szCs w:val="20"/>
                <w:lang w:val="en-GB" w:eastAsia="en-GB"/>
              </w:rPr>
            </w:pPr>
          </w:p>
        </w:tc>
        <w:tc>
          <w:tcPr>
            <w:tcW w:w="2340" w:type="dxa"/>
            <w:vMerge/>
            <w:tcBorders>
              <w:top w:val="nil"/>
              <w:left w:val="single" w:sz="4" w:space="0" w:color="auto"/>
              <w:bottom w:val="single" w:sz="4" w:space="0" w:color="auto"/>
              <w:right w:val="single" w:sz="4" w:space="0" w:color="auto"/>
            </w:tcBorders>
            <w:vAlign w:val="center"/>
          </w:tcPr>
          <w:p w14:paraId="2ACA1E9C" w14:textId="77777777" w:rsidR="00492105" w:rsidRPr="00892FF4" w:rsidRDefault="00492105" w:rsidP="00CC5D8D">
            <w:pPr>
              <w:spacing w:after="0" w:line="240" w:lineRule="auto"/>
              <w:rPr>
                <w:rFonts w:ascii="Calibri" w:eastAsia="Times New Roman" w:hAnsi="Calibri" w:cs="Calibri"/>
                <w:color w:val="000000"/>
                <w:lang w:val="en-GB" w:eastAsia="en-GB"/>
              </w:rPr>
            </w:pPr>
          </w:p>
        </w:tc>
      </w:tr>
    </w:tbl>
    <w:p>
      <w:pPr>
        <w:pStyle w:val="ListeParagraf"/>
        <w:spacing w:before="160" w:after="0"/>
        <w:ind w:left="709"/>
      </w:pPr>
      <w:r>
        <w:rPr>
          <w:rFonts w:ascii="Calibri" w:hAnsi="Calibri" w:cs="Calibri"/>
          <w:b/>
          <w:bCs/>
          <w:sz w:val="20"/>
          <w:szCs w:val="20"/>
        </w:rPr>
        <w:t xml:space="preserve">Hazırlayan: Final ve Paketleme Sorumlusu  ..........................</w:t>
      </w:r>
    </w:p>
    <w:p>
      <w:pPr>
        <w:pStyle w:val="ListeParagraf"/>
        <w:spacing w:before="40" w:after="0"/>
        <w:ind w:left="709"/>
      </w:pPr>
      <w:r>
        <w:rPr>
          <w:rFonts w:ascii="Calibri" w:hAnsi="Calibri" w:cs="Calibri"/>
          <w:b/>
          <w:bCs/>
          <w:sz w:val="20"/>
          <w:szCs w:val="20"/>
        </w:rPr>
        <w:t xml:space="preserve">Kontrol: Üretim Müdürü  ..........................</w:t>
      </w:r>
    </w:p>
    <w:p>
      <w:pPr>
        <w:pStyle w:val="ListeParagraf"/>
        <w:spacing w:before="40" w:after="0"/>
        <w:ind w:left="709"/>
      </w:pPr>
      <w:r>
        <w:rPr>
          <w:rFonts w:ascii="Calibri" w:hAnsi="Calibri" w:cs="Calibri"/>
          <w:b/>
          <w:bCs/>
          <w:sz w:val="20"/>
          <w:szCs w:val="20"/>
        </w:rPr>
        <w:t xml:space="preserve">Kalite Müdürü: ..........................    Fabrika Müdürü: ..........................</w:t>
      </w:r>
    </w:p>
    <w:p w14:paraId="3EE6E49A" w14:textId="7B3104D0" w:rsidR="00B77A69" w:rsidRPr="00906E62" w:rsidRDefault="00B77A69" w:rsidP="00792717">
      <w:pPr>
        <w:tabs>
          <w:tab w:val="left" w:pos="851"/>
        </w:tabs>
        <w:jc w:val="both"/>
        <w:rPr>
          <w:rFonts w:ascii="Calibri" w:hAnsi="Calibri" w:cs="Calibri"/>
          <w:bCs/>
          <w:sz w:val="24"/>
          <w:szCs w:val="24"/>
        </w:rPr>
      </w:pPr>
    </w:p>
    <w:sectPr w:rsidR="00B77A69" w:rsidRPr="00906E62" w:rsidSect="00161FE6">
      <w:headerReference w:type="even" r:id="rId10"/>
      <w:headerReference w:type="default" r:id="rId11"/>
      <w:footerReference w:type="even" r:id="rId12"/>
      <w:footerReference w:type="default" r:id="rId13"/>
      <w:headerReference w:type="first" r:id="rId14"/>
      <w:footerReference w:type="first" r:id="rId15"/>
      <w:type w:val="continuous"/>
      <w:pgSz w:w="11906" w:h="16838"/>
      <w:pgMar w:top="1135" w:right="849" w:bottom="709" w:left="284" w:header="708" w:footer="708" w:gutter="0"/>
      <w:pgNumType w:chapStyle="1"/>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24EDE31" w14:textId="77777777" w:rsidR="00484107" w:rsidRDefault="00484107" w:rsidP="0024179D">
      <w:pPr>
        <w:spacing w:after="0" w:line="240" w:lineRule="auto"/>
      </w:pPr>
      <w:r>
        <w:separator/>
      </w:r>
    </w:p>
  </w:endnote>
  <w:endnote w:type="continuationSeparator" w:id="0">
    <w:p w14:paraId="28748FB7" w14:textId="77777777" w:rsidR="00484107" w:rsidRDefault="00484107" w:rsidP="0024179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Arial Narrow">
    <w:panose1 w:val="020B0606020202030204"/>
    <w:charset w:val="A2"/>
    <w:family w:val="swiss"/>
    <w:pitch w:val="variable"/>
    <w:sig w:usb0="00000287" w:usb1="00000800" w:usb2="00000000" w:usb3="00000000" w:csb0="0000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B3393CD" w14:textId="77777777" w:rsidR="00CB5D69" w:rsidRDefault="00CB5D69">
    <w:pPr>
      <w:pStyle w:val="AltBilgi"/>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919389793"/>
      <w:docPartObj>
        <w:docPartGallery w:val="Page Numbers (Bottom of Page)"/>
        <w:docPartUnique/>
      </w:docPartObj>
    </w:sdtPr>
    <w:sdtContent>
      <w:p w14:paraId="543A3963" w14:textId="77777777" w:rsidR="003B4BB2" w:rsidRDefault="003B4BB2">
        <w:pPr>
          <w:pStyle w:val="AltBilgi"/>
          <w:jc w:val="center"/>
        </w:pPr>
        <w:r>
          <w:fldChar w:fldCharType="begin"/>
        </w:r>
        <w:r>
          <w:instrText>PAGE   \* MERGEFORMAT</w:instrText>
        </w:r>
        <w:r>
          <w:fldChar w:fldCharType="separate"/>
        </w:r>
        <w:r w:rsidR="00C55514">
          <w:rPr>
            <w:noProof/>
          </w:rPr>
          <w:t>3</w:t>
        </w:r>
        <w:r>
          <w:fldChar w:fldCharType="end"/>
        </w:r>
      </w:p>
    </w:sdtContent>
  </w:sdt>
  <w:p w14:paraId="58B85E36" w14:textId="77777777" w:rsidR="003B4BB2" w:rsidRDefault="003B4BB2">
    <w:pPr>
      <w:pStyle w:val="AltBilgi"/>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BE95764" w14:textId="77777777" w:rsidR="00CB5D69" w:rsidRDefault="00CB5D69">
    <w:pPr>
      <w:pStyle w:val="AltBilgi"/>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E503652" w14:textId="77777777" w:rsidR="00484107" w:rsidRDefault="00484107" w:rsidP="0024179D">
      <w:pPr>
        <w:spacing w:after="0" w:line="240" w:lineRule="auto"/>
      </w:pPr>
      <w:r>
        <w:separator/>
      </w:r>
    </w:p>
  </w:footnote>
  <w:footnote w:type="continuationSeparator" w:id="0">
    <w:p w14:paraId="5F8FF55E" w14:textId="77777777" w:rsidR="00484107" w:rsidRDefault="00484107" w:rsidP="0024179D">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tag w:val="GTBClassification"/>
      <w:id w:val="-1456783363"/>
      <w:lock w:val="sdtContentLocked"/>
      <w:placeholder>
        <w:docPart w:val="DefaultPlaceholder_-1854013440"/>
      </w:placeholder>
    </w:sdtPr>
    <w:sdtContent>
      <w:p w14:paraId="5F0F1B70" w14:textId="4B62F663" w:rsidR="00DA36D2" w:rsidRDefault="00091703" w:rsidP="00091703">
        <w:pPr>
          <w:pStyle w:val="stBilgi"/>
        </w:pPr>
        <w:r w:rsidRPr="00091703">
          <w:rPr>
            <w:rFonts w:ascii="Arial" w:hAnsi="Arial" w:cs="Arial"/>
            <w:b/>
            <w:color w:val="000000"/>
            <w:sz w:val="16"/>
          </w:rPr>
          <w:t>Classification:</w:t>
        </w:r>
        <w:r w:rsidRPr="00091703">
          <w:rPr>
            <w:rFonts w:ascii="Arial" w:hAnsi="Arial" w:cs="Arial"/>
            <w:color w:val="000000"/>
            <w:sz w:val="16"/>
          </w:rPr>
          <w:t xml:space="preserve"> </w:t>
        </w:r>
        <w:r w:rsidRPr="00091703">
          <w:rPr>
            <w:rFonts w:ascii="Arial" w:hAnsi="Arial" w:cs="Arial"/>
            <w:b/>
            <w:color w:val="FF0000"/>
            <w:sz w:val="16"/>
          </w:rPr>
          <w:t>Secret\Gizli</w:t>
        </w:r>
      </w:p>
    </w:sdtContent>
  </w:sdt>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oKlavuzu"/>
      <w:tblW w:w="10276" w:type="dxa"/>
      <w:tblInd w:w="634" w:type="dxa"/>
      <w:tblBorders>
        <w:top w:val="single" w:sz="4" w:space="0" w:color="ACB9CA" w:themeColor="text2" w:themeTint="66"/>
        <w:left w:val="none" w:sz="0" w:space="0" w:color="auto"/>
        <w:bottom w:val="single" w:sz="4" w:space="0" w:color="ACB9CA" w:themeColor="text2" w:themeTint="66"/>
        <w:right w:val="single" w:sz="4" w:space="0" w:color="ACB9CA" w:themeColor="text2" w:themeTint="66"/>
        <w:insideH w:val="single" w:sz="4" w:space="0" w:color="ACB9CA" w:themeColor="text2" w:themeTint="66"/>
        <w:insideV w:val="single" w:sz="4" w:space="0" w:color="ACB9CA" w:themeColor="text2" w:themeTint="66"/>
      </w:tblBorders>
      <w:tblLook w:val="04A0" w:firstRow="1" w:lastRow="0" w:firstColumn="1" w:lastColumn="0" w:noHBand="0" w:noVBand="1"/>
    </w:tblPr>
    <w:tblGrid>
      <w:gridCol w:w="2519"/>
      <w:gridCol w:w="4728"/>
      <w:gridCol w:w="1320"/>
      <w:gridCol w:w="1709"/>
    </w:tblGrid>
    <w:tr w:rsidR="00B524A9" w14:paraId="3FC2F665" w14:textId="77777777" w:rsidTr="005B3758">
      <w:trPr>
        <w:trHeight w:val="1039"/>
      </w:trPr>
      <w:tc>
        <w:tcPr>
          <w:tcW w:w="2519" w:type="dxa"/>
          <w:tcBorders>
            <w:top w:val="single" w:sz="4" w:space="0" w:color="auto"/>
            <w:left w:val="single" w:sz="4" w:space="0" w:color="auto"/>
            <w:bottom w:val="single" w:sz="4" w:space="0" w:color="auto"/>
            <w:right w:val="single" w:sz="4" w:space="0" w:color="auto"/>
          </w:tcBorders>
        </w:tcPr>
        <w:p w14:paraId="35A8CA0A" w14:textId="0FF2BCF6" w:rsidR="00CC34D1" w:rsidRDefault="000A3ACB" w:rsidP="000A3ACB">
          <w:pPr>
            <w:pStyle w:val="stBilgi"/>
            <w:tabs>
              <w:tab w:val="clear" w:pos="4536"/>
              <w:tab w:val="clear" w:pos="9072"/>
              <w:tab w:val="right" w:pos="2302"/>
            </w:tabs>
            <w:jc w:val="center"/>
          </w:pPr>
          <w:r>
            <w:rPr>
              <w:rFonts w:ascii="Calibri" w:hAnsi="Calibri" w:cs="Calibri"/>
              <w:b/>
              <w:bCs/>
              <w:noProof/>
              <w:sz w:val="24"/>
              <w:szCs w:val="24"/>
            </w:rPr>
            <w:drawing>
              <wp:inline distT="0" distB="0" distL="0" distR="0" wp14:anchorId="151A8098" wp14:editId="34C3FA3F">
                <wp:extent cx="723900" cy="631163"/>
                <wp:effectExtent l="0" t="0" r="0" b="0"/>
                <wp:docPr id="38064677"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rotWithShape="1">
                        <a:blip r:embed="rId1">
                          <a:extLst>
                            <a:ext uri="{28A0092B-C50C-407E-A947-70E740481C1C}">
                              <a14:useLocalDpi xmlns:a14="http://schemas.microsoft.com/office/drawing/2010/main" val="0"/>
                            </a:ext>
                          </a:extLst>
                        </a:blip>
                        <a:srcRect l="31110" r="33129"/>
                        <a:stretch>
                          <a:fillRect/>
                        </a:stretch>
                      </pic:blipFill>
                      <pic:spPr bwMode="auto">
                        <a:xfrm>
                          <a:off x="0" y="0"/>
                          <a:ext cx="750578" cy="654423"/>
                        </a:xfrm>
                        <a:prstGeom prst="rect">
                          <a:avLst/>
                        </a:prstGeom>
                        <a:noFill/>
                        <a:ln>
                          <a:noFill/>
                        </a:ln>
                        <a:extLst>
                          <a:ext uri="{53640926-AAD7-44D8-BBD7-CCE9431645EC}">
                            <a14:shadowObscured xmlns:a14="http://schemas.microsoft.com/office/drawing/2010/main"/>
                          </a:ext>
                        </a:extLst>
                      </pic:spPr>
                    </pic:pic>
                  </a:graphicData>
                </a:graphic>
              </wp:inline>
            </w:drawing>
          </w:r>
        </w:p>
      </w:tc>
      <w:tc>
        <w:tcPr>
          <w:tcW w:w="4728" w:type="dxa"/>
          <w:tcBorders>
            <w:top w:val="single" w:sz="4" w:space="0" w:color="auto"/>
            <w:left w:val="single" w:sz="4" w:space="0" w:color="auto"/>
            <w:bottom w:val="single" w:sz="4" w:space="0" w:color="auto"/>
            <w:right w:val="single" w:sz="4" w:space="0" w:color="auto"/>
          </w:tcBorders>
          <w:shd w:val="clear" w:color="auto" w:fill="D9D9D9" w:themeFill="background1" w:themeFillShade="D9"/>
          <w:vAlign w:val="center"/>
        </w:tcPr>
        <w:p>
          <w:pPr>
            <w:pStyle w:val="GvdeMetni2"/>
            <w:spacing w:line="276" w:lineRule="auto"/>
            <w:jc w:val="center"/>
          </w:pPr>
          <w:r>
            <w:rPr>
              <w:rFonts w:asciiTheme="minorHAnsi" w:hAnsiTheme="minorHAnsi" w:cs="Arial"/>
              <w:b/>
              <w:bCs/>
              <w:color w:val="000000" w:themeColor="text1"/>
              <w:sz w:val="22"/>
              <w:szCs w:val="22"/>
            </w:rPr>
            <w:t>FINISHED GOODS LOTTING AND LOT IDENTIFICATION PROCEDURE</w:t>
          </w:r>
        </w:p>
        <w:p>
          <w:pPr>
            <w:pStyle w:val="GvdeMetni2"/>
            <w:bidi/>
            <w:spacing w:line="276" w:lineRule="auto"/>
            <w:jc w:val="center"/>
          </w:pPr>
          <w:r>
            <w:rPr>
              <w:rFonts w:asciiTheme="minorHAnsi" w:hAnsiTheme="minorHAnsi" w:cs="Arial"/>
              <w:b/>
              <w:bCs/>
              <w:color w:val="000000" w:themeColor="text1"/>
              <w:sz w:val="22"/>
              <w:szCs w:val="22"/>
              <w:rtl/>
            </w:rPr>
            <w:t>إجراء ترقيم دفعات المنتج النهائي وتعريفها</w:t>
          </w:r>
        </w:p>
      </w:tc>
      <w:tc>
        <w:tcPr>
          <w:tcW w:w="1320" w:type="dxa"/>
          <w:tcBorders>
            <w:top w:val="single" w:sz="4" w:space="0" w:color="auto"/>
            <w:left w:val="single" w:sz="4" w:space="0" w:color="auto"/>
            <w:bottom w:val="single" w:sz="4" w:space="0" w:color="auto"/>
            <w:right w:val="nil"/>
          </w:tcBorders>
        </w:tcPr>
        <w:p w14:paraId="011D91B5" w14:textId="77777777" w:rsidR="00CC34D1" w:rsidRPr="00E34206" w:rsidRDefault="00CC34D1" w:rsidP="00CC34D1">
          <w:pPr>
            <w:spacing w:before="120" w:line="120" w:lineRule="atLeast"/>
            <w:rPr>
              <w:rFonts w:cstheme="minorHAnsi"/>
              <w:sz w:val="16"/>
              <w:szCs w:val="16"/>
            </w:rPr>
          </w:pPr>
          <w:r w:rsidRPr="00E34206">
            <w:rPr>
              <w:rFonts w:cstheme="minorHAnsi"/>
              <w:sz w:val="16"/>
              <w:szCs w:val="16"/>
            </w:rPr>
            <w:t xml:space="preserve">Belge No           :    </w:t>
          </w:r>
        </w:p>
        <w:p w14:paraId="666B83AD" w14:textId="77777777" w:rsidR="00CC34D1" w:rsidRPr="00E34206" w:rsidRDefault="00CC34D1" w:rsidP="00CC34D1">
          <w:pPr>
            <w:spacing w:line="120" w:lineRule="atLeast"/>
            <w:ind w:left="709" w:right="-469" w:hanging="709"/>
            <w:rPr>
              <w:rFonts w:cstheme="minorHAnsi"/>
              <w:sz w:val="16"/>
              <w:szCs w:val="16"/>
            </w:rPr>
          </w:pPr>
          <w:r w:rsidRPr="00E34206">
            <w:rPr>
              <w:rFonts w:cstheme="minorHAnsi"/>
              <w:sz w:val="16"/>
              <w:szCs w:val="16"/>
            </w:rPr>
            <w:t xml:space="preserve">Onay Tarihi   </w:t>
          </w:r>
          <w:r w:rsidRPr="00E34206">
            <w:rPr>
              <w:rFonts w:cstheme="minorHAnsi"/>
              <w:sz w:val="12"/>
              <w:szCs w:val="12"/>
            </w:rPr>
            <w:t xml:space="preserve">  </w:t>
          </w:r>
          <w:r w:rsidRPr="00E34206">
            <w:rPr>
              <w:rFonts w:cstheme="minorHAnsi"/>
              <w:sz w:val="16"/>
              <w:szCs w:val="16"/>
            </w:rPr>
            <w:t xml:space="preserve">  :</w:t>
          </w:r>
          <w:r w:rsidRPr="00E34206">
            <w:rPr>
              <w:rFonts w:cstheme="minorHAnsi"/>
              <w:sz w:val="16"/>
              <w:szCs w:val="16"/>
            </w:rPr>
            <w:tab/>
          </w:r>
        </w:p>
        <w:p w14:paraId="45A76328" w14:textId="77777777" w:rsidR="00CC34D1" w:rsidRPr="00E34206" w:rsidRDefault="00CC34D1" w:rsidP="00CC34D1">
          <w:pPr>
            <w:spacing w:line="120" w:lineRule="atLeast"/>
            <w:rPr>
              <w:rFonts w:cstheme="minorHAnsi"/>
              <w:sz w:val="16"/>
              <w:szCs w:val="16"/>
            </w:rPr>
          </w:pPr>
          <w:r w:rsidRPr="00E34206">
            <w:rPr>
              <w:rFonts w:cstheme="minorHAnsi"/>
              <w:sz w:val="16"/>
              <w:szCs w:val="16"/>
            </w:rPr>
            <w:t xml:space="preserve">Revizyon No     :       </w:t>
          </w:r>
        </w:p>
        <w:p w14:paraId="4193DCA2" w14:textId="77777777" w:rsidR="00CC34D1" w:rsidRPr="00E34206" w:rsidRDefault="00CC34D1" w:rsidP="00CC34D1">
          <w:pPr>
            <w:spacing w:line="120" w:lineRule="atLeast"/>
            <w:rPr>
              <w:rFonts w:cstheme="minorHAnsi"/>
              <w:sz w:val="16"/>
              <w:szCs w:val="16"/>
            </w:rPr>
          </w:pPr>
          <w:r w:rsidRPr="00E34206">
            <w:rPr>
              <w:rFonts w:cstheme="minorHAnsi"/>
              <w:sz w:val="16"/>
              <w:szCs w:val="16"/>
            </w:rPr>
            <w:t xml:space="preserve">Revizyon Tarihi:       </w:t>
          </w:r>
        </w:p>
      </w:tc>
      <w:tc>
        <w:tcPr>
          <w:tcW w:w="1709" w:type="dxa"/>
          <w:tcBorders>
            <w:top w:val="single" w:sz="4" w:space="0" w:color="auto"/>
            <w:left w:val="nil"/>
            <w:bottom w:val="single" w:sz="4" w:space="0" w:color="auto"/>
            <w:right w:val="single" w:sz="4" w:space="0" w:color="auto"/>
          </w:tcBorders>
        </w:tcPr>
        <w:p w14:paraId="60840A4B" w14:textId="4CC84DE1" w:rsidR="00CC34D1" w:rsidRPr="00E34206" w:rsidRDefault="00EA160E" w:rsidP="005B3758">
          <w:pPr>
            <w:spacing w:before="120" w:line="120" w:lineRule="atLeast"/>
            <w:ind w:left="-86"/>
            <w:rPr>
              <w:rFonts w:cstheme="minorHAnsi"/>
              <w:sz w:val="16"/>
              <w:szCs w:val="16"/>
            </w:rPr>
          </w:pPr>
          <w:r>
            <w:rPr>
              <w:rFonts w:cstheme="minorHAnsi"/>
              <w:sz w:val="16"/>
              <w:szCs w:val="16"/>
            </w:rPr>
            <w:t>EMS.ÜR.PRO.05.12.</w:t>
          </w:r>
        </w:p>
        <w:p w14:paraId="448BB81C" w14:textId="2E4404FA" w:rsidR="00CC34D1" w:rsidRPr="00E34206" w:rsidRDefault="007F210F" w:rsidP="005B3758">
          <w:pPr>
            <w:spacing w:line="120" w:lineRule="atLeast"/>
            <w:ind w:left="-86"/>
            <w:rPr>
              <w:rFonts w:cstheme="minorHAnsi"/>
              <w:sz w:val="16"/>
              <w:szCs w:val="16"/>
            </w:rPr>
          </w:pPr>
          <w:r>
            <w:rPr>
              <w:rFonts w:cstheme="minorHAnsi"/>
              <w:sz w:val="16"/>
              <w:szCs w:val="16"/>
            </w:rPr>
            <w:t>14.10.2026</w:t>
          </w:r>
          <w:r w:rsidR="00EA160E">
            <w:rPr>
              <w:rFonts w:cstheme="minorHAnsi"/>
              <w:sz w:val="16"/>
              <w:szCs w:val="16"/>
            </w:rPr>
            <w:t/>
          </w:r>
        </w:p>
        <w:p w14:paraId="3F22F458" w14:textId="2860EC0B" w:rsidR="00CC34D1" w:rsidRPr="00E34206" w:rsidRDefault="00CC34D1" w:rsidP="005B3758">
          <w:pPr>
            <w:spacing w:line="120" w:lineRule="atLeast"/>
            <w:ind w:left="-86"/>
            <w:rPr>
              <w:rFonts w:cstheme="minorHAnsi"/>
              <w:sz w:val="16"/>
              <w:szCs w:val="16"/>
            </w:rPr>
          </w:pPr>
          <w:r w:rsidRPr="00E34206">
            <w:rPr>
              <w:rFonts w:cstheme="minorHAnsi"/>
              <w:sz w:val="16"/>
              <w:szCs w:val="16"/>
            </w:rPr>
            <w:t>R0</w:t>
          </w:r>
          <w:r w:rsidR="006F78E6" w:rsidRPr="00E34206">
            <w:rPr>
              <w:rFonts w:cstheme="minorHAnsi"/>
              <w:sz w:val="16"/>
              <w:szCs w:val="16"/>
            </w:rPr>
            <w:t>0</w:t>
          </w:r>
        </w:p>
        <w:p w14:paraId="3B04BC92" w14:textId="0A8A75B6" w:rsidR="00CC34D1" w:rsidRPr="00E34206" w:rsidRDefault="000469B5" w:rsidP="005B3758">
          <w:pPr>
            <w:spacing w:line="120" w:lineRule="atLeast"/>
            <w:ind w:left="-86"/>
            <w:rPr>
              <w:rFonts w:cstheme="minorHAnsi"/>
              <w:sz w:val="16"/>
              <w:szCs w:val="16"/>
            </w:rPr>
          </w:pPr>
          <w:r w:rsidRPr="00E34206">
            <w:rPr>
              <w:rFonts w:cstheme="minorHAnsi"/>
              <w:sz w:val="16"/>
              <w:szCs w:val="16"/>
            </w:rPr>
            <w:t>… / … / …</w:t>
          </w:r>
        </w:p>
      </w:tc>
    </w:tr>
  </w:tbl>
  <w:p w14:paraId="357353DD" w14:textId="77777777" w:rsidR="00615C2C" w:rsidRPr="00CC34D1" w:rsidRDefault="00615C2C" w:rsidP="00CC34D1">
    <w:pPr>
      <w:pStyle w:val="stBilgi"/>
      <w:jc w:val="cent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tag w:val="GTBClassification"/>
      <w:id w:val="1434707961"/>
      <w:lock w:val="sdtContentLocked"/>
      <w:placeholder>
        <w:docPart w:val="DefaultPlaceholder_-1854013440"/>
      </w:placeholder>
    </w:sdtPr>
    <w:sdtContent>
      <w:p w14:paraId="1F71F5E0" w14:textId="01D55C96" w:rsidR="00DA36D2" w:rsidRDefault="00091703" w:rsidP="00091703">
        <w:pPr>
          <w:pStyle w:val="stBilgi"/>
        </w:pPr>
        <w:r w:rsidRPr="00091703">
          <w:rPr>
            <w:rFonts w:ascii="Arial" w:hAnsi="Arial" w:cs="Arial"/>
            <w:b/>
            <w:color w:val="000000"/>
            <w:sz w:val="16"/>
          </w:rPr>
          <w:t>Classification:</w:t>
        </w:r>
        <w:r w:rsidRPr="00091703">
          <w:rPr>
            <w:rFonts w:ascii="Arial" w:hAnsi="Arial" w:cs="Arial"/>
            <w:color w:val="000000"/>
            <w:sz w:val="16"/>
          </w:rPr>
          <w:t xml:space="preserve"> </w:t>
        </w:r>
        <w:r w:rsidRPr="00091703">
          <w:rPr>
            <w:rFonts w:ascii="Arial" w:hAnsi="Arial" w:cs="Arial"/>
            <w:b/>
            <w:color w:val="FF0000"/>
            <w:sz w:val="16"/>
          </w:rPr>
          <w:t>Secret\Gizli</w:t>
        </w:r>
      </w:p>
    </w:sdtContent>
  </w:sdt>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AAF1835"/>
    <w:multiLevelType w:val="hybridMultilevel"/>
    <w:tmpl w:val="D3366242"/>
    <w:lvl w:ilvl="0" w:tplc="041F0001">
      <w:start w:val="1"/>
      <w:numFmt w:val="bullet"/>
      <w:lvlText w:val=""/>
      <w:lvlJc w:val="left"/>
      <w:pPr>
        <w:ind w:left="1429" w:hanging="360"/>
      </w:pPr>
      <w:rPr>
        <w:rFonts w:ascii="Symbol" w:hAnsi="Symbol" w:hint="default"/>
      </w:rPr>
    </w:lvl>
    <w:lvl w:ilvl="1" w:tplc="041F0003" w:tentative="1">
      <w:start w:val="1"/>
      <w:numFmt w:val="bullet"/>
      <w:lvlText w:val="o"/>
      <w:lvlJc w:val="left"/>
      <w:pPr>
        <w:ind w:left="2149" w:hanging="360"/>
      </w:pPr>
      <w:rPr>
        <w:rFonts w:ascii="Courier New" w:hAnsi="Courier New" w:cs="Courier New" w:hint="default"/>
      </w:rPr>
    </w:lvl>
    <w:lvl w:ilvl="2" w:tplc="041F0005" w:tentative="1">
      <w:start w:val="1"/>
      <w:numFmt w:val="bullet"/>
      <w:lvlText w:val=""/>
      <w:lvlJc w:val="left"/>
      <w:pPr>
        <w:ind w:left="2869" w:hanging="360"/>
      </w:pPr>
      <w:rPr>
        <w:rFonts w:ascii="Wingdings" w:hAnsi="Wingdings" w:hint="default"/>
      </w:rPr>
    </w:lvl>
    <w:lvl w:ilvl="3" w:tplc="041F0001" w:tentative="1">
      <w:start w:val="1"/>
      <w:numFmt w:val="bullet"/>
      <w:lvlText w:val=""/>
      <w:lvlJc w:val="left"/>
      <w:pPr>
        <w:ind w:left="3589" w:hanging="360"/>
      </w:pPr>
      <w:rPr>
        <w:rFonts w:ascii="Symbol" w:hAnsi="Symbol" w:hint="default"/>
      </w:rPr>
    </w:lvl>
    <w:lvl w:ilvl="4" w:tplc="041F0003" w:tentative="1">
      <w:start w:val="1"/>
      <w:numFmt w:val="bullet"/>
      <w:lvlText w:val="o"/>
      <w:lvlJc w:val="left"/>
      <w:pPr>
        <w:ind w:left="4309" w:hanging="360"/>
      </w:pPr>
      <w:rPr>
        <w:rFonts w:ascii="Courier New" w:hAnsi="Courier New" w:cs="Courier New" w:hint="default"/>
      </w:rPr>
    </w:lvl>
    <w:lvl w:ilvl="5" w:tplc="041F0005" w:tentative="1">
      <w:start w:val="1"/>
      <w:numFmt w:val="bullet"/>
      <w:lvlText w:val=""/>
      <w:lvlJc w:val="left"/>
      <w:pPr>
        <w:ind w:left="5029" w:hanging="360"/>
      </w:pPr>
      <w:rPr>
        <w:rFonts w:ascii="Wingdings" w:hAnsi="Wingdings" w:hint="default"/>
      </w:rPr>
    </w:lvl>
    <w:lvl w:ilvl="6" w:tplc="041F0001" w:tentative="1">
      <w:start w:val="1"/>
      <w:numFmt w:val="bullet"/>
      <w:lvlText w:val=""/>
      <w:lvlJc w:val="left"/>
      <w:pPr>
        <w:ind w:left="5749" w:hanging="360"/>
      </w:pPr>
      <w:rPr>
        <w:rFonts w:ascii="Symbol" w:hAnsi="Symbol" w:hint="default"/>
      </w:rPr>
    </w:lvl>
    <w:lvl w:ilvl="7" w:tplc="041F0003" w:tentative="1">
      <w:start w:val="1"/>
      <w:numFmt w:val="bullet"/>
      <w:lvlText w:val="o"/>
      <w:lvlJc w:val="left"/>
      <w:pPr>
        <w:ind w:left="6469" w:hanging="360"/>
      </w:pPr>
      <w:rPr>
        <w:rFonts w:ascii="Courier New" w:hAnsi="Courier New" w:cs="Courier New" w:hint="default"/>
      </w:rPr>
    </w:lvl>
    <w:lvl w:ilvl="8" w:tplc="041F0005" w:tentative="1">
      <w:start w:val="1"/>
      <w:numFmt w:val="bullet"/>
      <w:lvlText w:val=""/>
      <w:lvlJc w:val="left"/>
      <w:pPr>
        <w:ind w:left="7189" w:hanging="360"/>
      </w:pPr>
      <w:rPr>
        <w:rFonts w:ascii="Wingdings" w:hAnsi="Wingdings" w:hint="default"/>
      </w:rPr>
    </w:lvl>
  </w:abstractNum>
  <w:abstractNum w:abstractNumId="1" w15:restartNumberingAfterBreak="0">
    <w:nsid w:val="21881A70"/>
    <w:multiLevelType w:val="hybridMultilevel"/>
    <w:tmpl w:val="C21AF762"/>
    <w:lvl w:ilvl="0" w:tplc="041F0001">
      <w:start w:val="1"/>
      <w:numFmt w:val="bullet"/>
      <w:lvlText w:val=""/>
      <w:lvlJc w:val="left"/>
      <w:pPr>
        <w:ind w:left="1429" w:hanging="360"/>
      </w:pPr>
      <w:rPr>
        <w:rFonts w:ascii="Symbol" w:hAnsi="Symbol" w:hint="default"/>
      </w:rPr>
    </w:lvl>
    <w:lvl w:ilvl="1" w:tplc="041F0003" w:tentative="1">
      <w:start w:val="1"/>
      <w:numFmt w:val="bullet"/>
      <w:lvlText w:val="o"/>
      <w:lvlJc w:val="left"/>
      <w:pPr>
        <w:ind w:left="2149" w:hanging="360"/>
      </w:pPr>
      <w:rPr>
        <w:rFonts w:ascii="Courier New" w:hAnsi="Courier New" w:cs="Courier New" w:hint="default"/>
      </w:rPr>
    </w:lvl>
    <w:lvl w:ilvl="2" w:tplc="041F0005" w:tentative="1">
      <w:start w:val="1"/>
      <w:numFmt w:val="bullet"/>
      <w:lvlText w:val=""/>
      <w:lvlJc w:val="left"/>
      <w:pPr>
        <w:ind w:left="2869" w:hanging="360"/>
      </w:pPr>
      <w:rPr>
        <w:rFonts w:ascii="Wingdings" w:hAnsi="Wingdings" w:hint="default"/>
      </w:rPr>
    </w:lvl>
    <w:lvl w:ilvl="3" w:tplc="041F0001" w:tentative="1">
      <w:start w:val="1"/>
      <w:numFmt w:val="bullet"/>
      <w:lvlText w:val=""/>
      <w:lvlJc w:val="left"/>
      <w:pPr>
        <w:ind w:left="3589" w:hanging="360"/>
      </w:pPr>
      <w:rPr>
        <w:rFonts w:ascii="Symbol" w:hAnsi="Symbol" w:hint="default"/>
      </w:rPr>
    </w:lvl>
    <w:lvl w:ilvl="4" w:tplc="041F0003" w:tentative="1">
      <w:start w:val="1"/>
      <w:numFmt w:val="bullet"/>
      <w:lvlText w:val="o"/>
      <w:lvlJc w:val="left"/>
      <w:pPr>
        <w:ind w:left="4309" w:hanging="360"/>
      </w:pPr>
      <w:rPr>
        <w:rFonts w:ascii="Courier New" w:hAnsi="Courier New" w:cs="Courier New" w:hint="default"/>
      </w:rPr>
    </w:lvl>
    <w:lvl w:ilvl="5" w:tplc="041F0005" w:tentative="1">
      <w:start w:val="1"/>
      <w:numFmt w:val="bullet"/>
      <w:lvlText w:val=""/>
      <w:lvlJc w:val="left"/>
      <w:pPr>
        <w:ind w:left="5029" w:hanging="360"/>
      </w:pPr>
      <w:rPr>
        <w:rFonts w:ascii="Wingdings" w:hAnsi="Wingdings" w:hint="default"/>
      </w:rPr>
    </w:lvl>
    <w:lvl w:ilvl="6" w:tplc="041F0001" w:tentative="1">
      <w:start w:val="1"/>
      <w:numFmt w:val="bullet"/>
      <w:lvlText w:val=""/>
      <w:lvlJc w:val="left"/>
      <w:pPr>
        <w:ind w:left="5749" w:hanging="360"/>
      </w:pPr>
      <w:rPr>
        <w:rFonts w:ascii="Symbol" w:hAnsi="Symbol" w:hint="default"/>
      </w:rPr>
    </w:lvl>
    <w:lvl w:ilvl="7" w:tplc="041F0003" w:tentative="1">
      <w:start w:val="1"/>
      <w:numFmt w:val="bullet"/>
      <w:lvlText w:val="o"/>
      <w:lvlJc w:val="left"/>
      <w:pPr>
        <w:ind w:left="6469" w:hanging="360"/>
      </w:pPr>
      <w:rPr>
        <w:rFonts w:ascii="Courier New" w:hAnsi="Courier New" w:cs="Courier New" w:hint="default"/>
      </w:rPr>
    </w:lvl>
    <w:lvl w:ilvl="8" w:tplc="041F0005" w:tentative="1">
      <w:start w:val="1"/>
      <w:numFmt w:val="bullet"/>
      <w:lvlText w:val=""/>
      <w:lvlJc w:val="left"/>
      <w:pPr>
        <w:ind w:left="7189" w:hanging="360"/>
      </w:pPr>
      <w:rPr>
        <w:rFonts w:ascii="Wingdings" w:hAnsi="Wingdings" w:hint="default"/>
      </w:rPr>
    </w:lvl>
  </w:abstractNum>
  <w:abstractNum w:abstractNumId="2" w15:restartNumberingAfterBreak="0">
    <w:nsid w:val="7695140F"/>
    <w:multiLevelType w:val="hybridMultilevel"/>
    <w:tmpl w:val="791EFC84"/>
    <w:lvl w:ilvl="0" w:tplc="041F0001">
      <w:start w:val="1"/>
      <w:numFmt w:val="bullet"/>
      <w:lvlText w:val=""/>
      <w:lvlJc w:val="left"/>
      <w:pPr>
        <w:ind w:left="1429" w:hanging="360"/>
      </w:pPr>
      <w:rPr>
        <w:rFonts w:ascii="Symbol" w:hAnsi="Symbol" w:hint="default"/>
      </w:rPr>
    </w:lvl>
    <w:lvl w:ilvl="1" w:tplc="041F0003" w:tentative="1">
      <w:start w:val="1"/>
      <w:numFmt w:val="bullet"/>
      <w:lvlText w:val="o"/>
      <w:lvlJc w:val="left"/>
      <w:pPr>
        <w:ind w:left="2149" w:hanging="360"/>
      </w:pPr>
      <w:rPr>
        <w:rFonts w:ascii="Courier New" w:hAnsi="Courier New" w:cs="Courier New" w:hint="default"/>
      </w:rPr>
    </w:lvl>
    <w:lvl w:ilvl="2" w:tplc="041F0005" w:tentative="1">
      <w:start w:val="1"/>
      <w:numFmt w:val="bullet"/>
      <w:lvlText w:val=""/>
      <w:lvlJc w:val="left"/>
      <w:pPr>
        <w:ind w:left="2869" w:hanging="360"/>
      </w:pPr>
      <w:rPr>
        <w:rFonts w:ascii="Wingdings" w:hAnsi="Wingdings" w:hint="default"/>
      </w:rPr>
    </w:lvl>
    <w:lvl w:ilvl="3" w:tplc="041F0001" w:tentative="1">
      <w:start w:val="1"/>
      <w:numFmt w:val="bullet"/>
      <w:lvlText w:val=""/>
      <w:lvlJc w:val="left"/>
      <w:pPr>
        <w:ind w:left="3589" w:hanging="360"/>
      </w:pPr>
      <w:rPr>
        <w:rFonts w:ascii="Symbol" w:hAnsi="Symbol" w:hint="default"/>
      </w:rPr>
    </w:lvl>
    <w:lvl w:ilvl="4" w:tplc="041F0003" w:tentative="1">
      <w:start w:val="1"/>
      <w:numFmt w:val="bullet"/>
      <w:lvlText w:val="o"/>
      <w:lvlJc w:val="left"/>
      <w:pPr>
        <w:ind w:left="4309" w:hanging="360"/>
      </w:pPr>
      <w:rPr>
        <w:rFonts w:ascii="Courier New" w:hAnsi="Courier New" w:cs="Courier New" w:hint="default"/>
      </w:rPr>
    </w:lvl>
    <w:lvl w:ilvl="5" w:tplc="041F0005" w:tentative="1">
      <w:start w:val="1"/>
      <w:numFmt w:val="bullet"/>
      <w:lvlText w:val=""/>
      <w:lvlJc w:val="left"/>
      <w:pPr>
        <w:ind w:left="5029" w:hanging="360"/>
      </w:pPr>
      <w:rPr>
        <w:rFonts w:ascii="Wingdings" w:hAnsi="Wingdings" w:hint="default"/>
      </w:rPr>
    </w:lvl>
    <w:lvl w:ilvl="6" w:tplc="041F0001" w:tentative="1">
      <w:start w:val="1"/>
      <w:numFmt w:val="bullet"/>
      <w:lvlText w:val=""/>
      <w:lvlJc w:val="left"/>
      <w:pPr>
        <w:ind w:left="5749" w:hanging="360"/>
      </w:pPr>
      <w:rPr>
        <w:rFonts w:ascii="Symbol" w:hAnsi="Symbol" w:hint="default"/>
      </w:rPr>
    </w:lvl>
    <w:lvl w:ilvl="7" w:tplc="041F0003" w:tentative="1">
      <w:start w:val="1"/>
      <w:numFmt w:val="bullet"/>
      <w:lvlText w:val="o"/>
      <w:lvlJc w:val="left"/>
      <w:pPr>
        <w:ind w:left="6469" w:hanging="360"/>
      </w:pPr>
      <w:rPr>
        <w:rFonts w:ascii="Courier New" w:hAnsi="Courier New" w:cs="Courier New" w:hint="default"/>
      </w:rPr>
    </w:lvl>
    <w:lvl w:ilvl="8" w:tplc="041F0005" w:tentative="1">
      <w:start w:val="1"/>
      <w:numFmt w:val="bullet"/>
      <w:lvlText w:val=""/>
      <w:lvlJc w:val="left"/>
      <w:pPr>
        <w:ind w:left="7189" w:hanging="360"/>
      </w:pPr>
      <w:rPr>
        <w:rFonts w:ascii="Wingdings" w:hAnsi="Wingdings" w:hint="default"/>
      </w:rPr>
    </w:lvl>
  </w:abstractNum>
  <w:num w:numId="1" w16cid:durableId="1062142871">
    <w:abstractNumId w:val="2"/>
  </w:num>
  <w:num w:numId="2" w16cid:durableId="1010715929">
    <w:abstractNumId w:val="0"/>
  </w:num>
  <w:num w:numId="3" w16cid:durableId="644965887">
    <w:abstractNumId w:val="1"/>
  </w:num>
  <w:numIdMacAtCleanup w:val="3"/>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08"/>
  <w:hyphenationZone w:val="425"/>
  <w:characterSpacingControl w:val="doNotCompress"/>
  <w:savePreviewPicture/>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96AC5"/>
    <w:rsid w:val="00004C28"/>
    <w:rsid w:val="00005934"/>
    <w:rsid w:val="000062C2"/>
    <w:rsid w:val="00006C22"/>
    <w:rsid w:val="00007866"/>
    <w:rsid w:val="00007900"/>
    <w:rsid w:val="00011E92"/>
    <w:rsid w:val="0001450C"/>
    <w:rsid w:val="00015BAF"/>
    <w:rsid w:val="000166F0"/>
    <w:rsid w:val="00016A38"/>
    <w:rsid w:val="000172AE"/>
    <w:rsid w:val="00017CE9"/>
    <w:rsid w:val="00020042"/>
    <w:rsid w:val="00024327"/>
    <w:rsid w:val="00024A75"/>
    <w:rsid w:val="00025FFA"/>
    <w:rsid w:val="00027B66"/>
    <w:rsid w:val="000317C6"/>
    <w:rsid w:val="00042054"/>
    <w:rsid w:val="000423D0"/>
    <w:rsid w:val="0004381F"/>
    <w:rsid w:val="0004632F"/>
    <w:rsid w:val="00046961"/>
    <w:rsid w:val="000469B5"/>
    <w:rsid w:val="00052B85"/>
    <w:rsid w:val="00060D87"/>
    <w:rsid w:val="000627C2"/>
    <w:rsid w:val="00065BEF"/>
    <w:rsid w:val="00066E9C"/>
    <w:rsid w:val="00071EC6"/>
    <w:rsid w:val="00072971"/>
    <w:rsid w:val="0007365F"/>
    <w:rsid w:val="00074101"/>
    <w:rsid w:val="00074326"/>
    <w:rsid w:val="000750D9"/>
    <w:rsid w:val="00075F48"/>
    <w:rsid w:val="00081BA6"/>
    <w:rsid w:val="00082258"/>
    <w:rsid w:val="00083F3F"/>
    <w:rsid w:val="00091703"/>
    <w:rsid w:val="00092DB4"/>
    <w:rsid w:val="00092E5A"/>
    <w:rsid w:val="00093C80"/>
    <w:rsid w:val="00095E05"/>
    <w:rsid w:val="0009691E"/>
    <w:rsid w:val="0009778B"/>
    <w:rsid w:val="00097B6E"/>
    <w:rsid w:val="000A1EC7"/>
    <w:rsid w:val="000A1FB4"/>
    <w:rsid w:val="000A1FEC"/>
    <w:rsid w:val="000A3ACB"/>
    <w:rsid w:val="000A4453"/>
    <w:rsid w:val="000A64C5"/>
    <w:rsid w:val="000A6A4C"/>
    <w:rsid w:val="000A726F"/>
    <w:rsid w:val="000B3798"/>
    <w:rsid w:val="000B7575"/>
    <w:rsid w:val="000B7759"/>
    <w:rsid w:val="000C07CE"/>
    <w:rsid w:val="000C136A"/>
    <w:rsid w:val="000C330C"/>
    <w:rsid w:val="000C4756"/>
    <w:rsid w:val="000C494B"/>
    <w:rsid w:val="000D1FAD"/>
    <w:rsid w:val="000D207E"/>
    <w:rsid w:val="000D6E5A"/>
    <w:rsid w:val="000D7D42"/>
    <w:rsid w:val="000E0484"/>
    <w:rsid w:val="000E43F6"/>
    <w:rsid w:val="000E6D08"/>
    <w:rsid w:val="000F1649"/>
    <w:rsid w:val="000F2E82"/>
    <w:rsid w:val="000F6024"/>
    <w:rsid w:val="000F7877"/>
    <w:rsid w:val="0010184D"/>
    <w:rsid w:val="00106703"/>
    <w:rsid w:val="00112F89"/>
    <w:rsid w:val="00120694"/>
    <w:rsid w:val="00121785"/>
    <w:rsid w:val="00122495"/>
    <w:rsid w:val="00124306"/>
    <w:rsid w:val="00125BA9"/>
    <w:rsid w:val="00131F46"/>
    <w:rsid w:val="00134753"/>
    <w:rsid w:val="0013598E"/>
    <w:rsid w:val="001361D0"/>
    <w:rsid w:val="001367F4"/>
    <w:rsid w:val="0014143E"/>
    <w:rsid w:val="00143992"/>
    <w:rsid w:val="00145D59"/>
    <w:rsid w:val="00147BE8"/>
    <w:rsid w:val="00150B41"/>
    <w:rsid w:val="0015130E"/>
    <w:rsid w:val="00153251"/>
    <w:rsid w:val="00157A37"/>
    <w:rsid w:val="00161ABB"/>
    <w:rsid w:val="00161FE6"/>
    <w:rsid w:val="00163F80"/>
    <w:rsid w:val="00165D2D"/>
    <w:rsid w:val="00165EDD"/>
    <w:rsid w:val="00166A81"/>
    <w:rsid w:val="001674D8"/>
    <w:rsid w:val="00173251"/>
    <w:rsid w:val="00173F28"/>
    <w:rsid w:val="00176112"/>
    <w:rsid w:val="00176818"/>
    <w:rsid w:val="00184777"/>
    <w:rsid w:val="00191267"/>
    <w:rsid w:val="001929A2"/>
    <w:rsid w:val="0019348A"/>
    <w:rsid w:val="00194E1A"/>
    <w:rsid w:val="00194E5E"/>
    <w:rsid w:val="00195691"/>
    <w:rsid w:val="0019628E"/>
    <w:rsid w:val="001A0320"/>
    <w:rsid w:val="001A0406"/>
    <w:rsid w:val="001B349B"/>
    <w:rsid w:val="001B4102"/>
    <w:rsid w:val="001B4615"/>
    <w:rsid w:val="001B4A22"/>
    <w:rsid w:val="001B69EF"/>
    <w:rsid w:val="001B7144"/>
    <w:rsid w:val="001C0665"/>
    <w:rsid w:val="001C3E73"/>
    <w:rsid w:val="001C6570"/>
    <w:rsid w:val="001C6CE1"/>
    <w:rsid w:val="001C72FD"/>
    <w:rsid w:val="001D08B1"/>
    <w:rsid w:val="001D0EAB"/>
    <w:rsid w:val="001D6AA6"/>
    <w:rsid w:val="001E1914"/>
    <w:rsid w:val="001E26CE"/>
    <w:rsid w:val="001E2976"/>
    <w:rsid w:val="001E5796"/>
    <w:rsid w:val="001E7788"/>
    <w:rsid w:val="001F18FC"/>
    <w:rsid w:val="001F2F4B"/>
    <w:rsid w:val="001F49EE"/>
    <w:rsid w:val="001F7F78"/>
    <w:rsid w:val="00200A8F"/>
    <w:rsid w:val="002044BB"/>
    <w:rsid w:val="00206867"/>
    <w:rsid w:val="002101D7"/>
    <w:rsid w:val="00210FFB"/>
    <w:rsid w:val="00211083"/>
    <w:rsid w:val="002121AD"/>
    <w:rsid w:val="00212CE5"/>
    <w:rsid w:val="002137BD"/>
    <w:rsid w:val="0021381F"/>
    <w:rsid w:val="002152D7"/>
    <w:rsid w:val="00215D5C"/>
    <w:rsid w:val="00215E94"/>
    <w:rsid w:val="002168D5"/>
    <w:rsid w:val="00217DB3"/>
    <w:rsid w:val="002225A1"/>
    <w:rsid w:val="002227C0"/>
    <w:rsid w:val="00223294"/>
    <w:rsid w:val="002273A3"/>
    <w:rsid w:val="0023048B"/>
    <w:rsid w:val="002317E3"/>
    <w:rsid w:val="00233D59"/>
    <w:rsid w:val="00234C38"/>
    <w:rsid w:val="00234C6F"/>
    <w:rsid w:val="00240475"/>
    <w:rsid w:val="00241786"/>
    <w:rsid w:val="0024179D"/>
    <w:rsid w:val="002437E5"/>
    <w:rsid w:val="00243EC1"/>
    <w:rsid w:val="0024476B"/>
    <w:rsid w:val="00244E28"/>
    <w:rsid w:val="00245E8F"/>
    <w:rsid w:val="00246299"/>
    <w:rsid w:val="00246D9E"/>
    <w:rsid w:val="002474CF"/>
    <w:rsid w:val="002501D2"/>
    <w:rsid w:val="002510F5"/>
    <w:rsid w:val="002606EC"/>
    <w:rsid w:val="00260DC7"/>
    <w:rsid w:val="00262471"/>
    <w:rsid w:val="00262FBC"/>
    <w:rsid w:val="00263D7C"/>
    <w:rsid w:val="00265D3F"/>
    <w:rsid w:val="002679F3"/>
    <w:rsid w:val="002707D8"/>
    <w:rsid w:val="00271F88"/>
    <w:rsid w:val="00272701"/>
    <w:rsid w:val="00274202"/>
    <w:rsid w:val="0028335B"/>
    <w:rsid w:val="0028378B"/>
    <w:rsid w:val="0028741B"/>
    <w:rsid w:val="002920F8"/>
    <w:rsid w:val="002921F6"/>
    <w:rsid w:val="002933E5"/>
    <w:rsid w:val="00294E9B"/>
    <w:rsid w:val="00295B84"/>
    <w:rsid w:val="0029660E"/>
    <w:rsid w:val="0029661A"/>
    <w:rsid w:val="0029666A"/>
    <w:rsid w:val="002971B9"/>
    <w:rsid w:val="002A3A6F"/>
    <w:rsid w:val="002A3CD9"/>
    <w:rsid w:val="002A6CDD"/>
    <w:rsid w:val="002A7373"/>
    <w:rsid w:val="002B03BD"/>
    <w:rsid w:val="002B1E60"/>
    <w:rsid w:val="002B2A36"/>
    <w:rsid w:val="002B3BA5"/>
    <w:rsid w:val="002B68BC"/>
    <w:rsid w:val="002C391E"/>
    <w:rsid w:val="002C4334"/>
    <w:rsid w:val="002C68A9"/>
    <w:rsid w:val="002C6FF7"/>
    <w:rsid w:val="002C7A5E"/>
    <w:rsid w:val="002D0742"/>
    <w:rsid w:val="002D40A4"/>
    <w:rsid w:val="002D5595"/>
    <w:rsid w:val="002D5F67"/>
    <w:rsid w:val="002D7A52"/>
    <w:rsid w:val="002E01EF"/>
    <w:rsid w:val="002E195F"/>
    <w:rsid w:val="002E3435"/>
    <w:rsid w:val="002E5E6C"/>
    <w:rsid w:val="002F0111"/>
    <w:rsid w:val="002F0522"/>
    <w:rsid w:val="002F1414"/>
    <w:rsid w:val="002F28A8"/>
    <w:rsid w:val="002F3933"/>
    <w:rsid w:val="002F4841"/>
    <w:rsid w:val="002F60F4"/>
    <w:rsid w:val="002F7B71"/>
    <w:rsid w:val="00300C48"/>
    <w:rsid w:val="00302684"/>
    <w:rsid w:val="00305F15"/>
    <w:rsid w:val="00307172"/>
    <w:rsid w:val="00307898"/>
    <w:rsid w:val="00311AB0"/>
    <w:rsid w:val="0031430C"/>
    <w:rsid w:val="00314B0C"/>
    <w:rsid w:val="00315B8B"/>
    <w:rsid w:val="00316783"/>
    <w:rsid w:val="0032115A"/>
    <w:rsid w:val="00321587"/>
    <w:rsid w:val="00322172"/>
    <w:rsid w:val="003221E1"/>
    <w:rsid w:val="0032506B"/>
    <w:rsid w:val="00325D13"/>
    <w:rsid w:val="00326FEC"/>
    <w:rsid w:val="00331796"/>
    <w:rsid w:val="0033222A"/>
    <w:rsid w:val="0033285F"/>
    <w:rsid w:val="0033464A"/>
    <w:rsid w:val="0033759F"/>
    <w:rsid w:val="0034071D"/>
    <w:rsid w:val="00344CFD"/>
    <w:rsid w:val="00345F1C"/>
    <w:rsid w:val="003460DE"/>
    <w:rsid w:val="00364D72"/>
    <w:rsid w:val="00365AD9"/>
    <w:rsid w:val="00365F77"/>
    <w:rsid w:val="00373DD8"/>
    <w:rsid w:val="00373F3C"/>
    <w:rsid w:val="00374953"/>
    <w:rsid w:val="00381ECA"/>
    <w:rsid w:val="003848F7"/>
    <w:rsid w:val="00390497"/>
    <w:rsid w:val="00392F05"/>
    <w:rsid w:val="00393651"/>
    <w:rsid w:val="00395D08"/>
    <w:rsid w:val="003973E3"/>
    <w:rsid w:val="00397D61"/>
    <w:rsid w:val="003A00DE"/>
    <w:rsid w:val="003A0DDD"/>
    <w:rsid w:val="003A1C8B"/>
    <w:rsid w:val="003A3436"/>
    <w:rsid w:val="003A398B"/>
    <w:rsid w:val="003A469D"/>
    <w:rsid w:val="003A4977"/>
    <w:rsid w:val="003A68F1"/>
    <w:rsid w:val="003A7403"/>
    <w:rsid w:val="003A772A"/>
    <w:rsid w:val="003B11B0"/>
    <w:rsid w:val="003B1309"/>
    <w:rsid w:val="003B4BB2"/>
    <w:rsid w:val="003B4D38"/>
    <w:rsid w:val="003B7B5D"/>
    <w:rsid w:val="003B7F2E"/>
    <w:rsid w:val="003C11B9"/>
    <w:rsid w:val="003C20D1"/>
    <w:rsid w:val="003C370E"/>
    <w:rsid w:val="003C49B5"/>
    <w:rsid w:val="003C572C"/>
    <w:rsid w:val="003C6C94"/>
    <w:rsid w:val="003C71D8"/>
    <w:rsid w:val="003D1A06"/>
    <w:rsid w:val="003D35D1"/>
    <w:rsid w:val="003D3FCE"/>
    <w:rsid w:val="003D4A28"/>
    <w:rsid w:val="003D6933"/>
    <w:rsid w:val="003D6E7B"/>
    <w:rsid w:val="003D752A"/>
    <w:rsid w:val="003D7E33"/>
    <w:rsid w:val="003E15D0"/>
    <w:rsid w:val="003E2831"/>
    <w:rsid w:val="003E29FC"/>
    <w:rsid w:val="003E4577"/>
    <w:rsid w:val="003E7E7B"/>
    <w:rsid w:val="003F1D68"/>
    <w:rsid w:val="003F2C21"/>
    <w:rsid w:val="003F39B2"/>
    <w:rsid w:val="003F3C12"/>
    <w:rsid w:val="003F7D0C"/>
    <w:rsid w:val="004001FD"/>
    <w:rsid w:val="004027AE"/>
    <w:rsid w:val="00402B34"/>
    <w:rsid w:val="004046F8"/>
    <w:rsid w:val="00404F6E"/>
    <w:rsid w:val="004057C3"/>
    <w:rsid w:val="004079DE"/>
    <w:rsid w:val="00407D9D"/>
    <w:rsid w:val="00410C01"/>
    <w:rsid w:val="00411C1C"/>
    <w:rsid w:val="00413C27"/>
    <w:rsid w:val="0041624E"/>
    <w:rsid w:val="0043027B"/>
    <w:rsid w:val="00433819"/>
    <w:rsid w:val="00433CB9"/>
    <w:rsid w:val="00434F4D"/>
    <w:rsid w:val="004403CF"/>
    <w:rsid w:val="00441B7A"/>
    <w:rsid w:val="0044295D"/>
    <w:rsid w:val="00450D37"/>
    <w:rsid w:val="00453318"/>
    <w:rsid w:val="0045497F"/>
    <w:rsid w:val="00460039"/>
    <w:rsid w:val="004654AD"/>
    <w:rsid w:val="00466673"/>
    <w:rsid w:val="00466BF1"/>
    <w:rsid w:val="004709F5"/>
    <w:rsid w:val="0047101D"/>
    <w:rsid w:val="00472054"/>
    <w:rsid w:val="004729F2"/>
    <w:rsid w:val="00477A5C"/>
    <w:rsid w:val="00481EAA"/>
    <w:rsid w:val="004831D8"/>
    <w:rsid w:val="00483AC5"/>
    <w:rsid w:val="00483F0F"/>
    <w:rsid w:val="00483F9E"/>
    <w:rsid w:val="00484107"/>
    <w:rsid w:val="0048544F"/>
    <w:rsid w:val="004864B7"/>
    <w:rsid w:val="00490402"/>
    <w:rsid w:val="004920FA"/>
    <w:rsid w:val="00492105"/>
    <w:rsid w:val="00495649"/>
    <w:rsid w:val="0049619F"/>
    <w:rsid w:val="00496EFF"/>
    <w:rsid w:val="00497C87"/>
    <w:rsid w:val="004A0624"/>
    <w:rsid w:val="004A36BA"/>
    <w:rsid w:val="004A4938"/>
    <w:rsid w:val="004A4AB1"/>
    <w:rsid w:val="004A6103"/>
    <w:rsid w:val="004B0CE4"/>
    <w:rsid w:val="004B232D"/>
    <w:rsid w:val="004B4BAC"/>
    <w:rsid w:val="004B5DB7"/>
    <w:rsid w:val="004B6529"/>
    <w:rsid w:val="004B729E"/>
    <w:rsid w:val="004C000F"/>
    <w:rsid w:val="004C0DFE"/>
    <w:rsid w:val="004C1A5D"/>
    <w:rsid w:val="004C2174"/>
    <w:rsid w:val="004C23D6"/>
    <w:rsid w:val="004C404D"/>
    <w:rsid w:val="004C7207"/>
    <w:rsid w:val="004C7D72"/>
    <w:rsid w:val="004D0E1A"/>
    <w:rsid w:val="004D695D"/>
    <w:rsid w:val="004E0EB5"/>
    <w:rsid w:val="004E353A"/>
    <w:rsid w:val="004E4B73"/>
    <w:rsid w:val="004E5CD9"/>
    <w:rsid w:val="004E6B86"/>
    <w:rsid w:val="004E7F49"/>
    <w:rsid w:val="004F4BFC"/>
    <w:rsid w:val="004F51F8"/>
    <w:rsid w:val="004F57EC"/>
    <w:rsid w:val="004F639A"/>
    <w:rsid w:val="005013D2"/>
    <w:rsid w:val="0050397B"/>
    <w:rsid w:val="00511FE2"/>
    <w:rsid w:val="00513159"/>
    <w:rsid w:val="0051505E"/>
    <w:rsid w:val="00517E77"/>
    <w:rsid w:val="00522980"/>
    <w:rsid w:val="00525B2E"/>
    <w:rsid w:val="0052607C"/>
    <w:rsid w:val="00526C83"/>
    <w:rsid w:val="00527295"/>
    <w:rsid w:val="00530117"/>
    <w:rsid w:val="00531584"/>
    <w:rsid w:val="005321D1"/>
    <w:rsid w:val="00532E52"/>
    <w:rsid w:val="005337CF"/>
    <w:rsid w:val="00534936"/>
    <w:rsid w:val="00535330"/>
    <w:rsid w:val="00535E6B"/>
    <w:rsid w:val="00535EE6"/>
    <w:rsid w:val="00537046"/>
    <w:rsid w:val="005375EF"/>
    <w:rsid w:val="0054019D"/>
    <w:rsid w:val="005503D3"/>
    <w:rsid w:val="00550C2A"/>
    <w:rsid w:val="005515BB"/>
    <w:rsid w:val="00551A5C"/>
    <w:rsid w:val="00551ECF"/>
    <w:rsid w:val="00552248"/>
    <w:rsid w:val="00553A2B"/>
    <w:rsid w:val="00553A50"/>
    <w:rsid w:val="005575F3"/>
    <w:rsid w:val="00557BBD"/>
    <w:rsid w:val="0056174A"/>
    <w:rsid w:val="00562387"/>
    <w:rsid w:val="00562863"/>
    <w:rsid w:val="00563321"/>
    <w:rsid w:val="00570F7E"/>
    <w:rsid w:val="005710F9"/>
    <w:rsid w:val="0057128A"/>
    <w:rsid w:val="005713AB"/>
    <w:rsid w:val="005713F4"/>
    <w:rsid w:val="005716CF"/>
    <w:rsid w:val="0057182A"/>
    <w:rsid w:val="00574AD6"/>
    <w:rsid w:val="00575CE2"/>
    <w:rsid w:val="00577EFA"/>
    <w:rsid w:val="00580BA5"/>
    <w:rsid w:val="005810AA"/>
    <w:rsid w:val="00581F6B"/>
    <w:rsid w:val="00582D3E"/>
    <w:rsid w:val="00583F13"/>
    <w:rsid w:val="0058443E"/>
    <w:rsid w:val="00584EFE"/>
    <w:rsid w:val="00586E1E"/>
    <w:rsid w:val="005907CC"/>
    <w:rsid w:val="00591114"/>
    <w:rsid w:val="0059143C"/>
    <w:rsid w:val="005919F4"/>
    <w:rsid w:val="00597227"/>
    <w:rsid w:val="005A094F"/>
    <w:rsid w:val="005A7CF0"/>
    <w:rsid w:val="005B2D65"/>
    <w:rsid w:val="005B3758"/>
    <w:rsid w:val="005B3CD4"/>
    <w:rsid w:val="005B67CE"/>
    <w:rsid w:val="005C0902"/>
    <w:rsid w:val="005C1290"/>
    <w:rsid w:val="005C25E0"/>
    <w:rsid w:val="005C41BE"/>
    <w:rsid w:val="005C6605"/>
    <w:rsid w:val="005C7318"/>
    <w:rsid w:val="005C78F1"/>
    <w:rsid w:val="005C7ACC"/>
    <w:rsid w:val="005D00D4"/>
    <w:rsid w:val="005D0442"/>
    <w:rsid w:val="005D076B"/>
    <w:rsid w:val="005D55D4"/>
    <w:rsid w:val="005E02CF"/>
    <w:rsid w:val="005E29FE"/>
    <w:rsid w:val="005E359B"/>
    <w:rsid w:val="005E60EF"/>
    <w:rsid w:val="005E6435"/>
    <w:rsid w:val="005F1E07"/>
    <w:rsid w:val="005F1EC7"/>
    <w:rsid w:val="005F2593"/>
    <w:rsid w:val="005F3408"/>
    <w:rsid w:val="005F5DC2"/>
    <w:rsid w:val="005F61B1"/>
    <w:rsid w:val="005F68C0"/>
    <w:rsid w:val="0060494B"/>
    <w:rsid w:val="00605B1E"/>
    <w:rsid w:val="00605F5D"/>
    <w:rsid w:val="0060622E"/>
    <w:rsid w:val="006118DB"/>
    <w:rsid w:val="00612892"/>
    <w:rsid w:val="00612DF8"/>
    <w:rsid w:val="00615C2C"/>
    <w:rsid w:val="0061653C"/>
    <w:rsid w:val="006169BD"/>
    <w:rsid w:val="0062315F"/>
    <w:rsid w:val="0062344A"/>
    <w:rsid w:val="00623D61"/>
    <w:rsid w:val="00624F48"/>
    <w:rsid w:val="00627B21"/>
    <w:rsid w:val="00630789"/>
    <w:rsid w:val="00632AFC"/>
    <w:rsid w:val="00636062"/>
    <w:rsid w:val="00637DA2"/>
    <w:rsid w:val="00641237"/>
    <w:rsid w:val="006422A9"/>
    <w:rsid w:val="00643A21"/>
    <w:rsid w:val="00644428"/>
    <w:rsid w:val="0064456E"/>
    <w:rsid w:val="00645360"/>
    <w:rsid w:val="006454F2"/>
    <w:rsid w:val="00646CA9"/>
    <w:rsid w:val="00653D9C"/>
    <w:rsid w:val="006542A6"/>
    <w:rsid w:val="006542E9"/>
    <w:rsid w:val="00654BF0"/>
    <w:rsid w:val="00655736"/>
    <w:rsid w:val="00656882"/>
    <w:rsid w:val="00660E64"/>
    <w:rsid w:val="00661DC5"/>
    <w:rsid w:val="00663621"/>
    <w:rsid w:val="0066554F"/>
    <w:rsid w:val="00666D09"/>
    <w:rsid w:val="00666E7B"/>
    <w:rsid w:val="00667B6B"/>
    <w:rsid w:val="0067094E"/>
    <w:rsid w:val="00672867"/>
    <w:rsid w:val="0067388E"/>
    <w:rsid w:val="00674819"/>
    <w:rsid w:val="0067681F"/>
    <w:rsid w:val="00676C64"/>
    <w:rsid w:val="006837A2"/>
    <w:rsid w:val="0068428A"/>
    <w:rsid w:val="00692A7F"/>
    <w:rsid w:val="00693EF8"/>
    <w:rsid w:val="0069401C"/>
    <w:rsid w:val="00696461"/>
    <w:rsid w:val="00697E34"/>
    <w:rsid w:val="006A6FC4"/>
    <w:rsid w:val="006B0220"/>
    <w:rsid w:val="006B145A"/>
    <w:rsid w:val="006B1808"/>
    <w:rsid w:val="006B293D"/>
    <w:rsid w:val="006B2E87"/>
    <w:rsid w:val="006B4568"/>
    <w:rsid w:val="006B7365"/>
    <w:rsid w:val="006C0EF9"/>
    <w:rsid w:val="006C342A"/>
    <w:rsid w:val="006C34E5"/>
    <w:rsid w:val="006D1D38"/>
    <w:rsid w:val="006D31C4"/>
    <w:rsid w:val="006D4D4D"/>
    <w:rsid w:val="006D508A"/>
    <w:rsid w:val="006D59D8"/>
    <w:rsid w:val="006D6645"/>
    <w:rsid w:val="006D769E"/>
    <w:rsid w:val="006E029B"/>
    <w:rsid w:val="006E1A31"/>
    <w:rsid w:val="006E4058"/>
    <w:rsid w:val="006F28B3"/>
    <w:rsid w:val="006F4DAD"/>
    <w:rsid w:val="006F4F36"/>
    <w:rsid w:val="006F78E6"/>
    <w:rsid w:val="0070114C"/>
    <w:rsid w:val="0070693E"/>
    <w:rsid w:val="00711B79"/>
    <w:rsid w:val="00714CF2"/>
    <w:rsid w:val="0071592E"/>
    <w:rsid w:val="00716077"/>
    <w:rsid w:val="007208D4"/>
    <w:rsid w:val="00722FD3"/>
    <w:rsid w:val="00723D00"/>
    <w:rsid w:val="007245C3"/>
    <w:rsid w:val="00730075"/>
    <w:rsid w:val="007304CF"/>
    <w:rsid w:val="00730B26"/>
    <w:rsid w:val="00730DE1"/>
    <w:rsid w:val="00731384"/>
    <w:rsid w:val="00731D7E"/>
    <w:rsid w:val="00734C3D"/>
    <w:rsid w:val="00734E93"/>
    <w:rsid w:val="007413D0"/>
    <w:rsid w:val="007457E5"/>
    <w:rsid w:val="0074672A"/>
    <w:rsid w:val="00746BFC"/>
    <w:rsid w:val="00746ECF"/>
    <w:rsid w:val="007520E1"/>
    <w:rsid w:val="00754DE4"/>
    <w:rsid w:val="0075606A"/>
    <w:rsid w:val="00756E42"/>
    <w:rsid w:val="00757850"/>
    <w:rsid w:val="00767F53"/>
    <w:rsid w:val="00772988"/>
    <w:rsid w:val="00772C38"/>
    <w:rsid w:val="0077477D"/>
    <w:rsid w:val="007753FF"/>
    <w:rsid w:val="00776696"/>
    <w:rsid w:val="007768CE"/>
    <w:rsid w:val="00781A8E"/>
    <w:rsid w:val="0078352D"/>
    <w:rsid w:val="00783B87"/>
    <w:rsid w:val="0078401D"/>
    <w:rsid w:val="007873B5"/>
    <w:rsid w:val="00792717"/>
    <w:rsid w:val="00796291"/>
    <w:rsid w:val="007A27BA"/>
    <w:rsid w:val="007B09F3"/>
    <w:rsid w:val="007B6091"/>
    <w:rsid w:val="007C0424"/>
    <w:rsid w:val="007C3694"/>
    <w:rsid w:val="007C40D9"/>
    <w:rsid w:val="007C6AD1"/>
    <w:rsid w:val="007C76BD"/>
    <w:rsid w:val="007C7A62"/>
    <w:rsid w:val="007D0894"/>
    <w:rsid w:val="007D1473"/>
    <w:rsid w:val="007D58FA"/>
    <w:rsid w:val="007E1963"/>
    <w:rsid w:val="007E1D0D"/>
    <w:rsid w:val="007E28C7"/>
    <w:rsid w:val="007E2BDD"/>
    <w:rsid w:val="007E490F"/>
    <w:rsid w:val="007E5B08"/>
    <w:rsid w:val="007E5EB7"/>
    <w:rsid w:val="007E62EC"/>
    <w:rsid w:val="007E7E6B"/>
    <w:rsid w:val="007F19C3"/>
    <w:rsid w:val="007F210F"/>
    <w:rsid w:val="007F288D"/>
    <w:rsid w:val="007F3DDA"/>
    <w:rsid w:val="007F5D6A"/>
    <w:rsid w:val="007F609C"/>
    <w:rsid w:val="007F7182"/>
    <w:rsid w:val="007F78D4"/>
    <w:rsid w:val="007F7A21"/>
    <w:rsid w:val="008026E8"/>
    <w:rsid w:val="00804E62"/>
    <w:rsid w:val="0080538A"/>
    <w:rsid w:val="00805B5E"/>
    <w:rsid w:val="00811332"/>
    <w:rsid w:val="008127DB"/>
    <w:rsid w:val="00812D17"/>
    <w:rsid w:val="00813326"/>
    <w:rsid w:val="00813BF2"/>
    <w:rsid w:val="00814653"/>
    <w:rsid w:val="00816150"/>
    <w:rsid w:val="008164E5"/>
    <w:rsid w:val="00816B26"/>
    <w:rsid w:val="0081773D"/>
    <w:rsid w:val="008207D1"/>
    <w:rsid w:val="00822C7C"/>
    <w:rsid w:val="00831A75"/>
    <w:rsid w:val="0083527E"/>
    <w:rsid w:val="0083565A"/>
    <w:rsid w:val="00835DC1"/>
    <w:rsid w:val="00840820"/>
    <w:rsid w:val="00841697"/>
    <w:rsid w:val="008422BF"/>
    <w:rsid w:val="00842F65"/>
    <w:rsid w:val="008459C6"/>
    <w:rsid w:val="00847352"/>
    <w:rsid w:val="00850549"/>
    <w:rsid w:val="00851DD8"/>
    <w:rsid w:val="00852870"/>
    <w:rsid w:val="0085318C"/>
    <w:rsid w:val="008532A5"/>
    <w:rsid w:val="008602C9"/>
    <w:rsid w:val="00860923"/>
    <w:rsid w:val="008613B2"/>
    <w:rsid w:val="00861CF1"/>
    <w:rsid w:val="0087543C"/>
    <w:rsid w:val="00877F4A"/>
    <w:rsid w:val="00880D2F"/>
    <w:rsid w:val="00883398"/>
    <w:rsid w:val="00883946"/>
    <w:rsid w:val="00883CBC"/>
    <w:rsid w:val="00884E82"/>
    <w:rsid w:val="00885A7D"/>
    <w:rsid w:val="00891301"/>
    <w:rsid w:val="00891A08"/>
    <w:rsid w:val="00892060"/>
    <w:rsid w:val="00892FF4"/>
    <w:rsid w:val="00896FED"/>
    <w:rsid w:val="008973B0"/>
    <w:rsid w:val="008A2AF0"/>
    <w:rsid w:val="008A4157"/>
    <w:rsid w:val="008A5099"/>
    <w:rsid w:val="008A602F"/>
    <w:rsid w:val="008A7762"/>
    <w:rsid w:val="008B033F"/>
    <w:rsid w:val="008B0660"/>
    <w:rsid w:val="008B3A4F"/>
    <w:rsid w:val="008B48DC"/>
    <w:rsid w:val="008B6695"/>
    <w:rsid w:val="008B7A0A"/>
    <w:rsid w:val="008C0DC9"/>
    <w:rsid w:val="008C1ACA"/>
    <w:rsid w:val="008C2A83"/>
    <w:rsid w:val="008C6B10"/>
    <w:rsid w:val="008C7A1E"/>
    <w:rsid w:val="008D54D7"/>
    <w:rsid w:val="008D6009"/>
    <w:rsid w:val="008E212A"/>
    <w:rsid w:val="008E5460"/>
    <w:rsid w:val="008E598C"/>
    <w:rsid w:val="008E76CD"/>
    <w:rsid w:val="008E7A26"/>
    <w:rsid w:val="008F1A93"/>
    <w:rsid w:val="008F2BF3"/>
    <w:rsid w:val="008F3E4F"/>
    <w:rsid w:val="008F547C"/>
    <w:rsid w:val="008F6937"/>
    <w:rsid w:val="008F78EA"/>
    <w:rsid w:val="008F79E9"/>
    <w:rsid w:val="008F7C61"/>
    <w:rsid w:val="008F7F82"/>
    <w:rsid w:val="0090143F"/>
    <w:rsid w:val="00903BFF"/>
    <w:rsid w:val="00906E62"/>
    <w:rsid w:val="009070CA"/>
    <w:rsid w:val="00913395"/>
    <w:rsid w:val="009137D6"/>
    <w:rsid w:val="00914916"/>
    <w:rsid w:val="0091620E"/>
    <w:rsid w:val="00921140"/>
    <w:rsid w:val="009221BF"/>
    <w:rsid w:val="00922CCB"/>
    <w:rsid w:val="00923D31"/>
    <w:rsid w:val="00925D36"/>
    <w:rsid w:val="00930AB9"/>
    <w:rsid w:val="009337A6"/>
    <w:rsid w:val="00934542"/>
    <w:rsid w:val="00940A5E"/>
    <w:rsid w:val="00940B59"/>
    <w:rsid w:val="0094188E"/>
    <w:rsid w:val="00943856"/>
    <w:rsid w:val="0095003A"/>
    <w:rsid w:val="00950566"/>
    <w:rsid w:val="00950AC4"/>
    <w:rsid w:val="009522E9"/>
    <w:rsid w:val="00956A14"/>
    <w:rsid w:val="00956ADA"/>
    <w:rsid w:val="00957D13"/>
    <w:rsid w:val="00967A17"/>
    <w:rsid w:val="009708BE"/>
    <w:rsid w:val="009748E1"/>
    <w:rsid w:val="00975B28"/>
    <w:rsid w:val="00976384"/>
    <w:rsid w:val="009778C8"/>
    <w:rsid w:val="009805B9"/>
    <w:rsid w:val="00984D39"/>
    <w:rsid w:val="00985DAA"/>
    <w:rsid w:val="009863E4"/>
    <w:rsid w:val="00986A3B"/>
    <w:rsid w:val="009876E1"/>
    <w:rsid w:val="0099353B"/>
    <w:rsid w:val="009A05D9"/>
    <w:rsid w:val="009A28E3"/>
    <w:rsid w:val="009A6E3F"/>
    <w:rsid w:val="009B097E"/>
    <w:rsid w:val="009B438A"/>
    <w:rsid w:val="009C13B5"/>
    <w:rsid w:val="009C3590"/>
    <w:rsid w:val="009C4116"/>
    <w:rsid w:val="009C5CD8"/>
    <w:rsid w:val="009C5E84"/>
    <w:rsid w:val="009D340D"/>
    <w:rsid w:val="009D4885"/>
    <w:rsid w:val="009D51B2"/>
    <w:rsid w:val="009D5F13"/>
    <w:rsid w:val="009D703C"/>
    <w:rsid w:val="009E0249"/>
    <w:rsid w:val="009E077F"/>
    <w:rsid w:val="009E264F"/>
    <w:rsid w:val="009E4E8B"/>
    <w:rsid w:val="009E595A"/>
    <w:rsid w:val="009E78EB"/>
    <w:rsid w:val="009F0B7D"/>
    <w:rsid w:val="009F1868"/>
    <w:rsid w:val="009F40CE"/>
    <w:rsid w:val="009F4416"/>
    <w:rsid w:val="00A036A7"/>
    <w:rsid w:val="00A048B8"/>
    <w:rsid w:val="00A058D7"/>
    <w:rsid w:val="00A0731C"/>
    <w:rsid w:val="00A11899"/>
    <w:rsid w:val="00A136C4"/>
    <w:rsid w:val="00A14A3C"/>
    <w:rsid w:val="00A2179A"/>
    <w:rsid w:val="00A26C55"/>
    <w:rsid w:val="00A26E24"/>
    <w:rsid w:val="00A32177"/>
    <w:rsid w:val="00A34AF1"/>
    <w:rsid w:val="00A37D31"/>
    <w:rsid w:val="00A41ACE"/>
    <w:rsid w:val="00A42500"/>
    <w:rsid w:val="00A42653"/>
    <w:rsid w:val="00A426D2"/>
    <w:rsid w:val="00A4392F"/>
    <w:rsid w:val="00A4394E"/>
    <w:rsid w:val="00A43A36"/>
    <w:rsid w:val="00A50483"/>
    <w:rsid w:val="00A54F18"/>
    <w:rsid w:val="00A5516F"/>
    <w:rsid w:val="00A6189B"/>
    <w:rsid w:val="00A62B4F"/>
    <w:rsid w:val="00A65EBB"/>
    <w:rsid w:val="00A65F8F"/>
    <w:rsid w:val="00A6711B"/>
    <w:rsid w:val="00A72BC5"/>
    <w:rsid w:val="00A76342"/>
    <w:rsid w:val="00A814EF"/>
    <w:rsid w:val="00A94778"/>
    <w:rsid w:val="00AA104F"/>
    <w:rsid w:val="00AA1CED"/>
    <w:rsid w:val="00AA1EB9"/>
    <w:rsid w:val="00AA60A5"/>
    <w:rsid w:val="00AA7E69"/>
    <w:rsid w:val="00AB1917"/>
    <w:rsid w:val="00AB213B"/>
    <w:rsid w:val="00AB2336"/>
    <w:rsid w:val="00AB3BD2"/>
    <w:rsid w:val="00AB3EBF"/>
    <w:rsid w:val="00AB40AE"/>
    <w:rsid w:val="00AC0F8B"/>
    <w:rsid w:val="00AC109B"/>
    <w:rsid w:val="00AC29E8"/>
    <w:rsid w:val="00AC2A27"/>
    <w:rsid w:val="00AC2D9E"/>
    <w:rsid w:val="00AC4C5C"/>
    <w:rsid w:val="00AC5E96"/>
    <w:rsid w:val="00AD07FB"/>
    <w:rsid w:val="00AD1A22"/>
    <w:rsid w:val="00AD2080"/>
    <w:rsid w:val="00AD39E9"/>
    <w:rsid w:val="00AD5491"/>
    <w:rsid w:val="00AD57D7"/>
    <w:rsid w:val="00AD7074"/>
    <w:rsid w:val="00AE0582"/>
    <w:rsid w:val="00AE11D2"/>
    <w:rsid w:val="00AE3BAF"/>
    <w:rsid w:val="00AE6D1B"/>
    <w:rsid w:val="00AF0696"/>
    <w:rsid w:val="00AF5BA0"/>
    <w:rsid w:val="00AF5DF7"/>
    <w:rsid w:val="00AF7604"/>
    <w:rsid w:val="00B00BEC"/>
    <w:rsid w:val="00B00DC5"/>
    <w:rsid w:val="00B022BD"/>
    <w:rsid w:val="00B030F8"/>
    <w:rsid w:val="00B10E24"/>
    <w:rsid w:val="00B12160"/>
    <w:rsid w:val="00B14782"/>
    <w:rsid w:val="00B156A0"/>
    <w:rsid w:val="00B20214"/>
    <w:rsid w:val="00B22B81"/>
    <w:rsid w:val="00B26C98"/>
    <w:rsid w:val="00B27ECB"/>
    <w:rsid w:val="00B30031"/>
    <w:rsid w:val="00B315F9"/>
    <w:rsid w:val="00B31D8E"/>
    <w:rsid w:val="00B32A7C"/>
    <w:rsid w:val="00B35360"/>
    <w:rsid w:val="00B3673A"/>
    <w:rsid w:val="00B404CD"/>
    <w:rsid w:val="00B40ECE"/>
    <w:rsid w:val="00B42447"/>
    <w:rsid w:val="00B43985"/>
    <w:rsid w:val="00B43BFC"/>
    <w:rsid w:val="00B44765"/>
    <w:rsid w:val="00B452D6"/>
    <w:rsid w:val="00B466A9"/>
    <w:rsid w:val="00B469A7"/>
    <w:rsid w:val="00B524A9"/>
    <w:rsid w:val="00B55B7C"/>
    <w:rsid w:val="00B6032C"/>
    <w:rsid w:val="00B65CB6"/>
    <w:rsid w:val="00B66A78"/>
    <w:rsid w:val="00B7051B"/>
    <w:rsid w:val="00B714E2"/>
    <w:rsid w:val="00B716CC"/>
    <w:rsid w:val="00B71D5C"/>
    <w:rsid w:val="00B77A69"/>
    <w:rsid w:val="00B8311C"/>
    <w:rsid w:val="00B848A9"/>
    <w:rsid w:val="00B87A39"/>
    <w:rsid w:val="00B87FF6"/>
    <w:rsid w:val="00B9506F"/>
    <w:rsid w:val="00B9555D"/>
    <w:rsid w:val="00B9644F"/>
    <w:rsid w:val="00B9687A"/>
    <w:rsid w:val="00B97C71"/>
    <w:rsid w:val="00BA2DF8"/>
    <w:rsid w:val="00BA74FD"/>
    <w:rsid w:val="00BB4027"/>
    <w:rsid w:val="00BB4D00"/>
    <w:rsid w:val="00BB5FDD"/>
    <w:rsid w:val="00BB766F"/>
    <w:rsid w:val="00BB7DC3"/>
    <w:rsid w:val="00BC0699"/>
    <w:rsid w:val="00BC19F4"/>
    <w:rsid w:val="00BC2E04"/>
    <w:rsid w:val="00BC4554"/>
    <w:rsid w:val="00BC704A"/>
    <w:rsid w:val="00BD21D4"/>
    <w:rsid w:val="00BD263E"/>
    <w:rsid w:val="00BD2A92"/>
    <w:rsid w:val="00BD6586"/>
    <w:rsid w:val="00BE019F"/>
    <w:rsid w:val="00BE0AF2"/>
    <w:rsid w:val="00BE16C4"/>
    <w:rsid w:val="00BE1C24"/>
    <w:rsid w:val="00BE216B"/>
    <w:rsid w:val="00BE220E"/>
    <w:rsid w:val="00BE3DB6"/>
    <w:rsid w:val="00BE45D5"/>
    <w:rsid w:val="00BE551A"/>
    <w:rsid w:val="00BE60EB"/>
    <w:rsid w:val="00BE7815"/>
    <w:rsid w:val="00BF47CD"/>
    <w:rsid w:val="00BF51E9"/>
    <w:rsid w:val="00BF5D34"/>
    <w:rsid w:val="00BF66BC"/>
    <w:rsid w:val="00C01605"/>
    <w:rsid w:val="00C02CC3"/>
    <w:rsid w:val="00C04898"/>
    <w:rsid w:val="00C05C08"/>
    <w:rsid w:val="00C071CC"/>
    <w:rsid w:val="00C1087D"/>
    <w:rsid w:val="00C1344F"/>
    <w:rsid w:val="00C2081D"/>
    <w:rsid w:val="00C2195B"/>
    <w:rsid w:val="00C22469"/>
    <w:rsid w:val="00C22E88"/>
    <w:rsid w:val="00C23BD5"/>
    <w:rsid w:val="00C24095"/>
    <w:rsid w:val="00C263E3"/>
    <w:rsid w:val="00C264A8"/>
    <w:rsid w:val="00C27DE8"/>
    <w:rsid w:val="00C31163"/>
    <w:rsid w:val="00C31165"/>
    <w:rsid w:val="00C319DF"/>
    <w:rsid w:val="00C33428"/>
    <w:rsid w:val="00C33DF8"/>
    <w:rsid w:val="00C35D1A"/>
    <w:rsid w:val="00C360CD"/>
    <w:rsid w:val="00C407D8"/>
    <w:rsid w:val="00C422A7"/>
    <w:rsid w:val="00C426C4"/>
    <w:rsid w:val="00C42C91"/>
    <w:rsid w:val="00C444D3"/>
    <w:rsid w:val="00C45394"/>
    <w:rsid w:val="00C51596"/>
    <w:rsid w:val="00C54468"/>
    <w:rsid w:val="00C549AE"/>
    <w:rsid w:val="00C55514"/>
    <w:rsid w:val="00C60ED9"/>
    <w:rsid w:val="00C6175F"/>
    <w:rsid w:val="00C648DD"/>
    <w:rsid w:val="00C64FF0"/>
    <w:rsid w:val="00C66EAB"/>
    <w:rsid w:val="00C67907"/>
    <w:rsid w:val="00C67B82"/>
    <w:rsid w:val="00C725B1"/>
    <w:rsid w:val="00C72A36"/>
    <w:rsid w:val="00C73F7A"/>
    <w:rsid w:val="00C74744"/>
    <w:rsid w:val="00C74F85"/>
    <w:rsid w:val="00C75A1D"/>
    <w:rsid w:val="00C80E0D"/>
    <w:rsid w:val="00C82A07"/>
    <w:rsid w:val="00C83F1F"/>
    <w:rsid w:val="00C87492"/>
    <w:rsid w:val="00C90013"/>
    <w:rsid w:val="00C90ECE"/>
    <w:rsid w:val="00C94317"/>
    <w:rsid w:val="00C96E16"/>
    <w:rsid w:val="00CA3BDB"/>
    <w:rsid w:val="00CA6104"/>
    <w:rsid w:val="00CA6230"/>
    <w:rsid w:val="00CA67C7"/>
    <w:rsid w:val="00CB1016"/>
    <w:rsid w:val="00CB2467"/>
    <w:rsid w:val="00CB254F"/>
    <w:rsid w:val="00CB5D69"/>
    <w:rsid w:val="00CB5E6B"/>
    <w:rsid w:val="00CB74D2"/>
    <w:rsid w:val="00CC0200"/>
    <w:rsid w:val="00CC34D1"/>
    <w:rsid w:val="00CC714E"/>
    <w:rsid w:val="00CD539C"/>
    <w:rsid w:val="00CD5A57"/>
    <w:rsid w:val="00CD74D3"/>
    <w:rsid w:val="00CD7766"/>
    <w:rsid w:val="00CD7DC0"/>
    <w:rsid w:val="00CF133E"/>
    <w:rsid w:val="00CF2AFB"/>
    <w:rsid w:val="00CF2D8F"/>
    <w:rsid w:val="00CF665E"/>
    <w:rsid w:val="00D01E3A"/>
    <w:rsid w:val="00D03334"/>
    <w:rsid w:val="00D06376"/>
    <w:rsid w:val="00D06674"/>
    <w:rsid w:val="00D06717"/>
    <w:rsid w:val="00D0700A"/>
    <w:rsid w:val="00D07F46"/>
    <w:rsid w:val="00D1174E"/>
    <w:rsid w:val="00D125B5"/>
    <w:rsid w:val="00D12EED"/>
    <w:rsid w:val="00D14C55"/>
    <w:rsid w:val="00D14E5F"/>
    <w:rsid w:val="00D15D30"/>
    <w:rsid w:val="00D16D31"/>
    <w:rsid w:val="00D22A62"/>
    <w:rsid w:val="00D22FBF"/>
    <w:rsid w:val="00D23A6B"/>
    <w:rsid w:val="00D3000E"/>
    <w:rsid w:val="00D3471A"/>
    <w:rsid w:val="00D36880"/>
    <w:rsid w:val="00D36A15"/>
    <w:rsid w:val="00D41FCC"/>
    <w:rsid w:val="00D45C45"/>
    <w:rsid w:val="00D464AB"/>
    <w:rsid w:val="00D467E4"/>
    <w:rsid w:val="00D46B23"/>
    <w:rsid w:val="00D51E00"/>
    <w:rsid w:val="00D54F83"/>
    <w:rsid w:val="00D554F0"/>
    <w:rsid w:val="00D571A4"/>
    <w:rsid w:val="00D57496"/>
    <w:rsid w:val="00D57E7A"/>
    <w:rsid w:val="00D617A7"/>
    <w:rsid w:val="00D63800"/>
    <w:rsid w:val="00D63A34"/>
    <w:rsid w:val="00D6436B"/>
    <w:rsid w:val="00D65381"/>
    <w:rsid w:val="00D6609B"/>
    <w:rsid w:val="00D66A30"/>
    <w:rsid w:val="00D670AD"/>
    <w:rsid w:val="00D67D13"/>
    <w:rsid w:val="00D71CB0"/>
    <w:rsid w:val="00D721A1"/>
    <w:rsid w:val="00D74485"/>
    <w:rsid w:val="00D74AAA"/>
    <w:rsid w:val="00D81309"/>
    <w:rsid w:val="00D85BDD"/>
    <w:rsid w:val="00D867AA"/>
    <w:rsid w:val="00D9093A"/>
    <w:rsid w:val="00D93966"/>
    <w:rsid w:val="00DA1623"/>
    <w:rsid w:val="00DA36D2"/>
    <w:rsid w:val="00DA6207"/>
    <w:rsid w:val="00DA708E"/>
    <w:rsid w:val="00DA74F8"/>
    <w:rsid w:val="00DA7ED9"/>
    <w:rsid w:val="00DB1473"/>
    <w:rsid w:val="00DB1D65"/>
    <w:rsid w:val="00DC09EC"/>
    <w:rsid w:val="00DC315E"/>
    <w:rsid w:val="00DC79B3"/>
    <w:rsid w:val="00DD05E1"/>
    <w:rsid w:val="00DD1F59"/>
    <w:rsid w:val="00DD2033"/>
    <w:rsid w:val="00DD5E6D"/>
    <w:rsid w:val="00DD7CBE"/>
    <w:rsid w:val="00DD7DB2"/>
    <w:rsid w:val="00DE2477"/>
    <w:rsid w:val="00DE3CC9"/>
    <w:rsid w:val="00DE424B"/>
    <w:rsid w:val="00DE49C9"/>
    <w:rsid w:val="00DE6FC7"/>
    <w:rsid w:val="00DF0AD1"/>
    <w:rsid w:val="00DF5E3B"/>
    <w:rsid w:val="00DF6331"/>
    <w:rsid w:val="00DF6DED"/>
    <w:rsid w:val="00E0225F"/>
    <w:rsid w:val="00E0360F"/>
    <w:rsid w:val="00E04130"/>
    <w:rsid w:val="00E05AD9"/>
    <w:rsid w:val="00E10A98"/>
    <w:rsid w:val="00E11380"/>
    <w:rsid w:val="00E11D45"/>
    <w:rsid w:val="00E12485"/>
    <w:rsid w:val="00E1274C"/>
    <w:rsid w:val="00E13E8A"/>
    <w:rsid w:val="00E15D80"/>
    <w:rsid w:val="00E20B72"/>
    <w:rsid w:val="00E20D45"/>
    <w:rsid w:val="00E21F66"/>
    <w:rsid w:val="00E27495"/>
    <w:rsid w:val="00E2781B"/>
    <w:rsid w:val="00E32525"/>
    <w:rsid w:val="00E32918"/>
    <w:rsid w:val="00E34206"/>
    <w:rsid w:val="00E34A01"/>
    <w:rsid w:val="00E357F7"/>
    <w:rsid w:val="00E36BF3"/>
    <w:rsid w:val="00E444FF"/>
    <w:rsid w:val="00E50411"/>
    <w:rsid w:val="00E54ADA"/>
    <w:rsid w:val="00E60907"/>
    <w:rsid w:val="00E66AED"/>
    <w:rsid w:val="00E67605"/>
    <w:rsid w:val="00E74B22"/>
    <w:rsid w:val="00E74EFE"/>
    <w:rsid w:val="00E801DD"/>
    <w:rsid w:val="00E82BD1"/>
    <w:rsid w:val="00E84026"/>
    <w:rsid w:val="00E90754"/>
    <w:rsid w:val="00E91D6E"/>
    <w:rsid w:val="00E921E8"/>
    <w:rsid w:val="00E93002"/>
    <w:rsid w:val="00E93115"/>
    <w:rsid w:val="00E93BDA"/>
    <w:rsid w:val="00E94280"/>
    <w:rsid w:val="00E9646D"/>
    <w:rsid w:val="00E96823"/>
    <w:rsid w:val="00E97E4D"/>
    <w:rsid w:val="00E97FD2"/>
    <w:rsid w:val="00EA05FC"/>
    <w:rsid w:val="00EA160E"/>
    <w:rsid w:val="00EA1B5D"/>
    <w:rsid w:val="00EA5786"/>
    <w:rsid w:val="00EB0257"/>
    <w:rsid w:val="00EB2004"/>
    <w:rsid w:val="00EB31B1"/>
    <w:rsid w:val="00EB7725"/>
    <w:rsid w:val="00EB7914"/>
    <w:rsid w:val="00EC0185"/>
    <w:rsid w:val="00EC45B1"/>
    <w:rsid w:val="00EC5D17"/>
    <w:rsid w:val="00EC613C"/>
    <w:rsid w:val="00EC651D"/>
    <w:rsid w:val="00EC66A2"/>
    <w:rsid w:val="00EC7B92"/>
    <w:rsid w:val="00EC7ED4"/>
    <w:rsid w:val="00ED045A"/>
    <w:rsid w:val="00ED2753"/>
    <w:rsid w:val="00ED47EE"/>
    <w:rsid w:val="00EE2A06"/>
    <w:rsid w:val="00EE2B64"/>
    <w:rsid w:val="00EE2E84"/>
    <w:rsid w:val="00EF10A2"/>
    <w:rsid w:val="00EF1999"/>
    <w:rsid w:val="00EF3768"/>
    <w:rsid w:val="00EF75D6"/>
    <w:rsid w:val="00EF77AA"/>
    <w:rsid w:val="00EF7C68"/>
    <w:rsid w:val="00F00B0B"/>
    <w:rsid w:val="00F0105F"/>
    <w:rsid w:val="00F01D51"/>
    <w:rsid w:val="00F026FD"/>
    <w:rsid w:val="00F04EA1"/>
    <w:rsid w:val="00F06F60"/>
    <w:rsid w:val="00F076C7"/>
    <w:rsid w:val="00F14B8E"/>
    <w:rsid w:val="00F14C8B"/>
    <w:rsid w:val="00F27387"/>
    <w:rsid w:val="00F3048C"/>
    <w:rsid w:val="00F3189A"/>
    <w:rsid w:val="00F31EC2"/>
    <w:rsid w:val="00F331CE"/>
    <w:rsid w:val="00F3389D"/>
    <w:rsid w:val="00F33BF7"/>
    <w:rsid w:val="00F343B1"/>
    <w:rsid w:val="00F35558"/>
    <w:rsid w:val="00F3578C"/>
    <w:rsid w:val="00F3705F"/>
    <w:rsid w:val="00F42A6E"/>
    <w:rsid w:val="00F4520E"/>
    <w:rsid w:val="00F46BF7"/>
    <w:rsid w:val="00F4711D"/>
    <w:rsid w:val="00F479F6"/>
    <w:rsid w:val="00F5084D"/>
    <w:rsid w:val="00F51DBE"/>
    <w:rsid w:val="00F57FB9"/>
    <w:rsid w:val="00F6199F"/>
    <w:rsid w:val="00F61FD8"/>
    <w:rsid w:val="00F621AA"/>
    <w:rsid w:val="00F62874"/>
    <w:rsid w:val="00F62C73"/>
    <w:rsid w:val="00F6438C"/>
    <w:rsid w:val="00F644C1"/>
    <w:rsid w:val="00F656FF"/>
    <w:rsid w:val="00F6648F"/>
    <w:rsid w:val="00F67D85"/>
    <w:rsid w:val="00F72422"/>
    <w:rsid w:val="00F7296B"/>
    <w:rsid w:val="00F72C60"/>
    <w:rsid w:val="00F72E9A"/>
    <w:rsid w:val="00F73C70"/>
    <w:rsid w:val="00F747B3"/>
    <w:rsid w:val="00F747D1"/>
    <w:rsid w:val="00F7590C"/>
    <w:rsid w:val="00F775A8"/>
    <w:rsid w:val="00F778D9"/>
    <w:rsid w:val="00F8000C"/>
    <w:rsid w:val="00F803F7"/>
    <w:rsid w:val="00F80F5F"/>
    <w:rsid w:val="00F82DF2"/>
    <w:rsid w:val="00F8359A"/>
    <w:rsid w:val="00F844DA"/>
    <w:rsid w:val="00F923A1"/>
    <w:rsid w:val="00F94114"/>
    <w:rsid w:val="00F9448E"/>
    <w:rsid w:val="00F956BF"/>
    <w:rsid w:val="00F96AC5"/>
    <w:rsid w:val="00FA1CF7"/>
    <w:rsid w:val="00FA25B3"/>
    <w:rsid w:val="00FA3638"/>
    <w:rsid w:val="00FA3B97"/>
    <w:rsid w:val="00FA3BF6"/>
    <w:rsid w:val="00FA4165"/>
    <w:rsid w:val="00FA5169"/>
    <w:rsid w:val="00FA7DC1"/>
    <w:rsid w:val="00FB23B4"/>
    <w:rsid w:val="00FB3DC5"/>
    <w:rsid w:val="00FC08EC"/>
    <w:rsid w:val="00FC3420"/>
    <w:rsid w:val="00FC34B2"/>
    <w:rsid w:val="00FC3F03"/>
    <w:rsid w:val="00FC4E20"/>
    <w:rsid w:val="00FC5BA0"/>
    <w:rsid w:val="00FC6202"/>
    <w:rsid w:val="00FD09FB"/>
    <w:rsid w:val="00FD0F06"/>
    <w:rsid w:val="00FD1D27"/>
    <w:rsid w:val="00FD6185"/>
    <w:rsid w:val="00FD6A7D"/>
    <w:rsid w:val="00FD70CB"/>
    <w:rsid w:val="00FE0493"/>
    <w:rsid w:val="00FE342A"/>
    <w:rsid w:val="00FE4091"/>
    <w:rsid w:val="00FE4BBB"/>
    <w:rsid w:val="00FE5E37"/>
    <w:rsid w:val="00FF0F11"/>
    <w:rsid w:val="00FF19E1"/>
    <w:rsid w:val="00FF1F88"/>
    <w:rsid w:val="00FF261A"/>
    <w:rsid w:val="00FF2DB0"/>
    <w:rsid w:val="00FF2DE8"/>
    <w:rsid w:val="00FF6C57"/>
    <w:rsid w:val="00FF73D8"/>
    <w:rsid w:val="00FF7441"/>
  </w:rsids>
  <m:mathPr>
    <m:mathFont m:val="Cambria Math"/>
    <m:brkBin m:val="before"/>
    <m:brkBinSub m:val="--"/>
    <m:smallFrac m:val="0"/>
    <m:dispDef/>
    <m:lMargin m:val="0"/>
    <m:rMargin m:val="0"/>
    <m:defJc m:val="centerGroup"/>
    <m:wrapIndent m:val="1440"/>
    <m:intLim m:val="subSup"/>
    <m:naryLim m:val="undOvr"/>
  </m:mathPr>
  <w:themeFontLang w:val="tr-TR"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5FA032C5"/>
  <w15:chartTrackingRefBased/>
  <w15:docId w15:val="{B0593B95-19DE-494A-88E8-2E676CDD05C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tr-TR"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iPriority="0"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Balk3">
    <w:name w:val="heading 3"/>
    <w:basedOn w:val="Normal"/>
    <w:next w:val="Normal"/>
    <w:link w:val="Balk3Char"/>
    <w:uiPriority w:val="9"/>
    <w:semiHidden/>
    <w:unhideWhenUsed/>
    <w:qFormat/>
    <w:rsid w:val="004C404D"/>
    <w:pPr>
      <w:keepNext/>
      <w:keepLines/>
      <w:spacing w:before="40" w:after="0"/>
      <w:outlineLvl w:val="2"/>
    </w:pPr>
    <w:rPr>
      <w:rFonts w:asciiTheme="majorHAnsi" w:eastAsiaTheme="majorEastAsia" w:hAnsiTheme="majorHAnsi" w:cstheme="majorBidi"/>
      <w:color w:val="1F4D78" w:themeColor="accent1" w:themeShade="7F"/>
      <w:sz w:val="24"/>
      <w:szCs w:val="24"/>
    </w:rPr>
  </w:style>
  <w:style w:type="character" w:default="1" w:styleId="VarsaylanParagrafYazTipi">
    <w:name w:val="Default Paragraph Font"/>
    <w:uiPriority w:val="1"/>
    <w:semiHidden/>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paragraph" w:styleId="ListeParagraf">
    <w:name w:val="List Paragraph"/>
    <w:basedOn w:val="Normal"/>
    <w:uiPriority w:val="34"/>
    <w:qFormat/>
    <w:rsid w:val="00DC09EC"/>
    <w:pPr>
      <w:ind w:left="720"/>
      <w:contextualSpacing/>
    </w:pPr>
  </w:style>
  <w:style w:type="paragraph" w:styleId="BalonMetni">
    <w:name w:val="Balloon Text"/>
    <w:basedOn w:val="Normal"/>
    <w:link w:val="BalonMetniChar"/>
    <w:uiPriority w:val="99"/>
    <w:semiHidden/>
    <w:unhideWhenUsed/>
    <w:rsid w:val="003B4D38"/>
    <w:pPr>
      <w:spacing w:after="0" w:line="240" w:lineRule="auto"/>
    </w:pPr>
    <w:rPr>
      <w:rFonts w:ascii="Segoe UI" w:hAnsi="Segoe UI" w:cs="Segoe UI"/>
      <w:sz w:val="18"/>
      <w:szCs w:val="18"/>
    </w:rPr>
  </w:style>
  <w:style w:type="character" w:customStyle="1" w:styleId="BalonMetniChar">
    <w:name w:val="Balon Metni Char"/>
    <w:basedOn w:val="VarsaylanParagrafYazTipi"/>
    <w:link w:val="BalonMetni"/>
    <w:uiPriority w:val="99"/>
    <w:semiHidden/>
    <w:rsid w:val="003B4D38"/>
    <w:rPr>
      <w:rFonts w:ascii="Segoe UI" w:hAnsi="Segoe UI" w:cs="Segoe UI"/>
      <w:sz w:val="18"/>
      <w:szCs w:val="18"/>
    </w:rPr>
  </w:style>
  <w:style w:type="table" w:styleId="TabloKlavuzu">
    <w:name w:val="Table Grid"/>
    <w:basedOn w:val="NormalTablo"/>
    <w:rsid w:val="002D5595"/>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SonNotMetni">
    <w:name w:val="endnote text"/>
    <w:basedOn w:val="Normal"/>
    <w:link w:val="SonNotMetniChar"/>
    <w:uiPriority w:val="99"/>
    <w:semiHidden/>
    <w:unhideWhenUsed/>
    <w:rsid w:val="0024179D"/>
    <w:pPr>
      <w:spacing w:after="0" w:line="240" w:lineRule="auto"/>
    </w:pPr>
    <w:rPr>
      <w:sz w:val="20"/>
      <w:szCs w:val="20"/>
    </w:rPr>
  </w:style>
  <w:style w:type="character" w:customStyle="1" w:styleId="SonNotMetniChar">
    <w:name w:val="Son Not Metni Char"/>
    <w:basedOn w:val="VarsaylanParagrafYazTipi"/>
    <w:link w:val="SonNotMetni"/>
    <w:uiPriority w:val="99"/>
    <w:semiHidden/>
    <w:rsid w:val="0024179D"/>
    <w:rPr>
      <w:sz w:val="20"/>
      <w:szCs w:val="20"/>
    </w:rPr>
  </w:style>
  <w:style w:type="character" w:styleId="SonNotBavurusu">
    <w:name w:val="endnote reference"/>
    <w:basedOn w:val="VarsaylanParagrafYazTipi"/>
    <w:uiPriority w:val="99"/>
    <w:semiHidden/>
    <w:unhideWhenUsed/>
    <w:rsid w:val="0024179D"/>
    <w:rPr>
      <w:vertAlign w:val="superscript"/>
    </w:rPr>
  </w:style>
  <w:style w:type="paragraph" w:styleId="stBilgi">
    <w:name w:val="header"/>
    <w:basedOn w:val="Normal"/>
    <w:link w:val="stBilgiChar"/>
    <w:uiPriority w:val="99"/>
    <w:unhideWhenUsed/>
    <w:rsid w:val="00615C2C"/>
    <w:pPr>
      <w:tabs>
        <w:tab w:val="center" w:pos="4536"/>
        <w:tab w:val="right" w:pos="9072"/>
      </w:tabs>
      <w:spacing w:after="0" w:line="240" w:lineRule="auto"/>
    </w:pPr>
  </w:style>
  <w:style w:type="character" w:customStyle="1" w:styleId="stBilgiChar">
    <w:name w:val="Üst Bilgi Char"/>
    <w:basedOn w:val="VarsaylanParagrafYazTipi"/>
    <w:link w:val="stBilgi"/>
    <w:uiPriority w:val="99"/>
    <w:rsid w:val="00615C2C"/>
  </w:style>
  <w:style w:type="paragraph" w:styleId="AltBilgi">
    <w:name w:val="footer"/>
    <w:basedOn w:val="Normal"/>
    <w:link w:val="AltBilgiChar"/>
    <w:uiPriority w:val="99"/>
    <w:unhideWhenUsed/>
    <w:rsid w:val="00615C2C"/>
    <w:pPr>
      <w:tabs>
        <w:tab w:val="center" w:pos="4536"/>
        <w:tab w:val="right" w:pos="9072"/>
      </w:tabs>
      <w:spacing w:after="0" w:line="240" w:lineRule="auto"/>
    </w:pPr>
  </w:style>
  <w:style w:type="character" w:customStyle="1" w:styleId="AltBilgiChar">
    <w:name w:val="Alt Bilgi Char"/>
    <w:basedOn w:val="VarsaylanParagrafYazTipi"/>
    <w:link w:val="AltBilgi"/>
    <w:uiPriority w:val="99"/>
    <w:rsid w:val="00615C2C"/>
  </w:style>
  <w:style w:type="paragraph" w:styleId="GvdeMetni2">
    <w:name w:val="Body Text 2"/>
    <w:basedOn w:val="Normal"/>
    <w:link w:val="GvdeMetni2Char"/>
    <w:rsid w:val="00CC34D1"/>
    <w:pPr>
      <w:spacing w:before="120" w:after="0" w:line="240" w:lineRule="auto"/>
      <w:jc w:val="center"/>
    </w:pPr>
    <w:rPr>
      <w:rFonts w:ascii="Arial Narrow" w:eastAsia="Times New Roman" w:hAnsi="Arial Narrow" w:cs="Times New Roman"/>
      <w:sz w:val="28"/>
      <w:szCs w:val="24"/>
      <w:lang w:eastAsia="tr-TR"/>
    </w:rPr>
  </w:style>
  <w:style w:type="character" w:customStyle="1" w:styleId="GvdeMetni2Char">
    <w:name w:val="Gövde Metni 2 Char"/>
    <w:basedOn w:val="VarsaylanParagrafYazTipi"/>
    <w:link w:val="GvdeMetni2"/>
    <w:rsid w:val="00CC34D1"/>
    <w:rPr>
      <w:rFonts w:ascii="Arial Narrow" w:eastAsia="Times New Roman" w:hAnsi="Arial Narrow" w:cs="Times New Roman"/>
      <w:sz w:val="28"/>
      <w:szCs w:val="24"/>
      <w:lang w:eastAsia="tr-TR"/>
    </w:rPr>
  </w:style>
  <w:style w:type="paragraph" w:styleId="GvdeMetni">
    <w:name w:val="Body Text"/>
    <w:basedOn w:val="Normal"/>
    <w:link w:val="GvdeMetniChar"/>
    <w:uiPriority w:val="99"/>
    <w:semiHidden/>
    <w:unhideWhenUsed/>
    <w:rsid w:val="00C82A07"/>
    <w:pPr>
      <w:spacing w:after="120"/>
    </w:pPr>
  </w:style>
  <w:style w:type="character" w:customStyle="1" w:styleId="GvdeMetniChar">
    <w:name w:val="Gövde Metni Char"/>
    <w:basedOn w:val="VarsaylanParagrafYazTipi"/>
    <w:link w:val="GvdeMetni"/>
    <w:uiPriority w:val="99"/>
    <w:semiHidden/>
    <w:rsid w:val="00C82A07"/>
  </w:style>
  <w:style w:type="character" w:styleId="YerTutucuMetni">
    <w:name w:val="Placeholder Text"/>
    <w:basedOn w:val="VarsaylanParagrafYazTipi"/>
    <w:uiPriority w:val="99"/>
    <w:semiHidden/>
    <w:rsid w:val="00DA36D2"/>
    <w:rPr>
      <w:color w:val="666666"/>
    </w:rPr>
  </w:style>
  <w:style w:type="character" w:customStyle="1" w:styleId="Balk3Char">
    <w:name w:val="Başlık 3 Char"/>
    <w:basedOn w:val="VarsaylanParagrafYazTipi"/>
    <w:link w:val="Balk3"/>
    <w:uiPriority w:val="9"/>
    <w:semiHidden/>
    <w:rsid w:val="004C404D"/>
    <w:rPr>
      <w:rFonts w:asciiTheme="majorHAnsi" w:eastAsiaTheme="majorEastAsia" w:hAnsiTheme="majorHAnsi" w:cstheme="majorBidi"/>
      <w:color w:val="1F4D78" w:themeColor="accent1" w:themeShade="7F"/>
      <w:sz w:val="24"/>
      <w:szCs w:val="24"/>
    </w:rPr>
  </w:style>
  <w:style w:type="paragraph" w:styleId="NormalWeb">
    <w:name w:val="Normal (Web)"/>
    <w:basedOn w:val="Normal"/>
    <w:uiPriority w:val="99"/>
    <w:semiHidden/>
    <w:unhideWhenUsed/>
    <w:rsid w:val="00B524A9"/>
    <w:rPr>
      <w:rFonts w:ascii="Times New Roman" w:hAnsi="Times New Roman" w:cs="Times New Roman"/>
      <w:sz w:val="24"/>
      <w:szCs w:val="24"/>
    </w:rPr>
  </w:style>
  <w:style w:type="character" w:styleId="AklamaBavurusu">
    <w:name w:val="annotation reference"/>
    <w:basedOn w:val="VarsaylanParagrafYazTipi"/>
    <w:uiPriority w:val="99"/>
    <w:semiHidden/>
    <w:unhideWhenUsed/>
    <w:rsid w:val="00F026FD"/>
    <w:rPr>
      <w:sz w:val="16"/>
      <w:szCs w:val="16"/>
    </w:rPr>
  </w:style>
  <w:style w:type="paragraph" w:styleId="AklamaMetni">
    <w:name w:val="annotation text"/>
    <w:basedOn w:val="Normal"/>
    <w:link w:val="AklamaMetniChar"/>
    <w:uiPriority w:val="99"/>
    <w:unhideWhenUsed/>
    <w:rsid w:val="00F026FD"/>
    <w:pPr>
      <w:spacing w:line="240" w:lineRule="auto"/>
    </w:pPr>
    <w:rPr>
      <w:sz w:val="20"/>
      <w:szCs w:val="20"/>
    </w:rPr>
  </w:style>
  <w:style w:type="character" w:customStyle="1" w:styleId="AklamaMetniChar">
    <w:name w:val="Açıklama Metni Char"/>
    <w:basedOn w:val="VarsaylanParagrafYazTipi"/>
    <w:link w:val="AklamaMetni"/>
    <w:uiPriority w:val="99"/>
    <w:rsid w:val="00F026FD"/>
    <w:rPr>
      <w:sz w:val="20"/>
      <w:szCs w:val="20"/>
    </w:rPr>
  </w:style>
  <w:style w:type="paragraph" w:styleId="AklamaKonusu">
    <w:name w:val="annotation subject"/>
    <w:basedOn w:val="AklamaMetni"/>
    <w:next w:val="AklamaMetni"/>
    <w:link w:val="AklamaKonusuChar"/>
    <w:uiPriority w:val="99"/>
    <w:semiHidden/>
    <w:unhideWhenUsed/>
    <w:rsid w:val="00F026FD"/>
    <w:rPr>
      <w:b/>
      <w:bCs/>
    </w:rPr>
  </w:style>
  <w:style w:type="character" w:customStyle="1" w:styleId="AklamaKonusuChar">
    <w:name w:val="Açıklama Konusu Char"/>
    <w:basedOn w:val="AklamaMetniChar"/>
    <w:link w:val="AklamaKonusu"/>
    <w:uiPriority w:val="99"/>
    <w:semiHidden/>
    <w:rsid w:val="00F026FD"/>
    <w:rPr>
      <w:b/>
      <w:bCs/>
      <w:sz w:val="20"/>
      <w:szCs w:val="20"/>
    </w:rPr>
  </w:style>
  <w:style w:type="character" w:styleId="Kpr">
    <w:name w:val="Hyperlink"/>
    <w:basedOn w:val="VarsaylanParagrafYazTipi"/>
    <w:uiPriority w:val="99"/>
    <w:unhideWhenUsed/>
    <w:rsid w:val="002F0522"/>
    <w:rPr>
      <w:color w:val="0563C1" w:themeColor="hyperlink"/>
      <w:u w:val="single"/>
    </w:rPr>
  </w:style>
  <w:style w:type="character" w:styleId="zmlenmeyenBahsetme">
    <w:name w:val="Unresolved Mention"/>
    <w:basedOn w:val="VarsaylanParagrafYazTipi"/>
    <w:uiPriority w:val="99"/>
    <w:semiHidden/>
    <w:unhideWhenUsed/>
    <w:rsid w:val="002F0522"/>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65609532">
      <w:bodyDiv w:val="1"/>
      <w:marLeft w:val="0"/>
      <w:marRight w:val="0"/>
      <w:marTop w:val="0"/>
      <w:marBottom w:val="0"/>
      <w:divBdr>
        <w:top w:val="none" w:sz="0" w:space="0" w:color="auto"/>
        <w:left w:val="none" w:sz="0" w:space="0" w:color="auto"/>
        <w:bottom w:val="none" w:sz="0" w:space="0" w:color="auto"/>
        <w:right w:val="none" w:sz="0" w:space="0" w:color="auto"/>
      </w:divBdr>
    </w:div>
    <w:div w:id="72944067">
      <w:bodyDiv w:val="1"/>
      <w:marLeft w:val="0"/>
      <w:marRight w:val="0"/>
      <w:marTop w:val="0"/>
      <w:marBottom w:val="0"/>
      <w:divBdr>
        <w:top w:val="none" w:sz="0" w:space="0" w:color="auto"/>
        <w:left w:val="none" w:sz="0" w:space="0" w:color="auto"/>
        <w:bottom w:val="none" w:sz="0" w:space="0" w:color="auto"/>
        <w:right w:val="none" w:sz="0" w:space="0" w:color="auto"/>
      </w:divBdr>
    </w:div>
    <w:div w:id="215941209">
      <w:bodyDiv w:val="1"/>
      <w:marLeft w:val="0"/>
      <w:marRight w:val="0"/>
      <w:marTop w:val="0"/>
      <w:marBottom w:val="0"/>
      <w:divBdr>
        <w:top w:val="none" w:sz="0" w:space="0" w:color="auto"/>
        <w:left w:val="none" w:sz="0" w:space="0" w:color="auto"/>
        <w:bottom w:val="none" w:sz="0" w:space="0" w:color="auto"/>
        <w:right w:val="none" w:sz="0" w:space="0" w:color="auto"/>
      </w:divBdr>
    </w:div>
    <w:div w:id="216013521">
      <w:bodyDiv w:val="1"/>
      <w:marLeft w:val="0"/>
      <w:marRight w:val="0"/>
      <w:marTop w:val="0"/>
      <w:marBottom w:val="0"/>
      <w:divBdr>
        <w:top w:val="none" w:sz="0" w:space="0" w:color="auto"/>
        <w:left w:val="none" w:sz="0" w:space="0" w:color="auto"/>
        <w:bottom w:val="none" w:sz="0" w:space="0" w:color="auto"/>
        <w:right w:val="none" w:sz="0" w:space="0" w:color="auto"/>
      </w:divBdr>
    </w:div>
    <w:div w:id="222645326">
      <w:bodyDiv w:val="1"/>
      <w:marLeft w:val="0"/>
      <w:marRight w:val="0"/>
      <w:marTop w:val="0"/>
      <w:marBottom w:val="0"/>
      <w:divBdr>
        <w:top w:val="none" w:sz="0" w:space="0" w:color="auto"/>
        <w:left w:val="none" w:sz="0" w:space="0" w:color="auto"/>
        <w:bottom w:val="none" w:sz="0" w:space="0" w:color="auto"/>
        <w:right w:val="none" w:sz="0" w:space="0" w:color="auto"/>
      </w:divBdr>
    </w:div>
    <w:div w:id="230314625">
      <w:bodyDiv w:val="1"/>
      <w:marLeft w:val="0"/>
      <w:marRight w:val="0"/>
      <w:marTop w:val="0"/>
      <w:marBottom w:val="0"/>
      <w:divBdr>
        <w:top w:val="none" w:sz="0" w:space="0" w:color="auto"/>
        <w:left w:val="none" w:sz="0" w:space="0" w:color="auto"/>
        <w:bottom w:val="none" w:sz="0" w:space="0" w:color="auto"/>
        <w:right w:val="none" w:sz="0" w:space="0" w:color="auto"/>
      </w:divBdr>
    </w:div>
    <w:div w:id="264965992">
      <w:bodyDiv w:val="1"/>
      <w:marLeft w:val="0"/>
      <w:marRight w:val="0"/>
      <w:marTop w:val="0"/>
      <w:marBottom w:val="0"/>
      <w:divBdr>
        <w:top w:val="none" w:sz="0" w:space="0" w:color="auto"/>
        <w:left w:val="none" w:sz="0" w:space="0" w:color="auto"/>
        <w:bottom w:val="none" w:sz="0" w:space="0" w:color="auto"/>
        <w:right w:val="none" w:sz="0" w:space="0" w:color="auto"/>
      </w:divBdr>
    </w:div>
    <w:div w:id="359360543">
      <w:bodyDiv w:val="1"/>
      <w:marLeft w:val="0"/>
      <w:marRight w:val="0"/>
      <w:marTop w:val="0"/>
      <w:marBottom w:val="0"/>
      <w:divBdr>
        <w:top w:val="none" w:sz="0" w:space="0" w:color="auto"/>
        <w:left w:val="none" w:sz="0" w:space="0" w:color="auto"/>
        <w:bottom w:val="none" w:sz="0" w:space="0" w:color="auto"/>
        <w:right w:val="none" w:sz="0" w:space="0" w:color="auto"/>
      </w:divBdr>
    </w:div>
    <w:div w:id="446239856">
      <w:bodyDiv w:val="1"/>
      <w:marLeft w:val="0"/>
      <w:marRight w:val="0"/>
      <w:marTop w:val="0"/>
      <w:marBottom w:val="0"/>
      <w:divBdr>
        <w:top w:val="none" w:sz="0" w:space="0" w:color="auto"/>
        <w:left w:val="none" w:sz="0" w:space="0" w:color="auto"/>
        <w:bottom w:val="none" w:sz="0" w:space="0" w:color="auto"/>
        <w:right w:val="none" w:sz="0" w:space="0" w:color="auto"/>
      </w:divBdr>
    </w:div>
    <w:div w:id="449668780">
      <w:bodyDiv w:val="1"/>
      <w:marLeft w:val="0"/>
      <w:marRight w:val="0"/>
      <w:marTop w:val="0"/>
      <w:marBottom w:val="0"/>
      <w:divBdr>
        <w:top w:val="none" w:sz="0" w:space="0" w:color="auto"/>
        <w:left w:val="none" w:sz="0" w:space="0" w:color="auto"/>
        <w:bottom w:val="none" w:sz="0" w:space="0" w:color="auto"/>
        <w:right w:val="none" w:sz="0" w:space="0" w:color="auto"/>
      </w:divBdr>
    </w:div>
    <w:div w:id="467283717">
      <w:bodyDiv w:val="1"/>
      <w:marLeft w:val="0"/>
      <w:marRight w:val="0"/>
      <w:marTop w:val="0"/>
      <w:marBottom w:val="0"/>
      <w:divBdr>
        <w:top w:val="none" w:sz="0" w:space="0" w:color="auto"/>
        <w:left w:val="none" w:sz="0" w:space="0" w:color="auto"/>
        <w:bottom w:val="none" w:sz="0" w:space="0" w:color="auto"/>
        <w:right w:val="none" w:sz="0" w:space="0" w:color="auto"/>
      </w:divBdr>
    </w:div>
    <w:div w:id="471487183">
      <w:bodyDiv w:val="1"/>
      <w:marLeft w:val="0"/>
      <w:marRight w:val="0"/>
      <w:marTop w:val="0"/>
      <w:marBottom w:val="0"/>
      <w:divBdr>
        <w:top w:val="none" w:sz="0" w:space="0" w:color="auto"/>
        <w:left w:val="none" w:sz="0" w:space="0" w:color="auto"/>
        <w:bottom w:val="none" w:sz="0" w:space="0" w:color="auto"/>
        <w:right w:val="none" w:sz="0" w:space="0" w:color="auto"/>
      </w:divBdr>
    </w:div>
    <w:div w:id="510800041">
      <w:bodyDiv w:val="1"/>
      <w:marLeft w:val="0"/>
      <w:marRight w:val="0"/>
      <w:marTop w:val="0"/>
      <w:marBottom w:val="0"/>
      <w:divBdr>
        <w:top w:val="none" w:sz="0" w:space="0" w:color="auto"/>
        <w:left w:val="none" w:sz="0" w:space="0" w:color="auto"/>
        <w:bottom w:val="none" w:sz="0" w:space="0" w:color="auto"/>
        <w:right w:val="none" w:sz="0" w:space="0" w:color="auto"/>
      </w:divBdr>
    </w:div>
    <w:div w:id="517043570">
      <w:bodyDiv w:val="1"/>
      <w:marLeft w:val="0"/>
      <w:marRight w:val="0"/>
      <w:marTop w:val="0"/>
      <w:marBottom w:val="0"/>
      <w:divBdr>
        <w:top w:val="none" w:sz="0" w:space="0" w:color="auto"/>
        <w:left w:val="none" w:sz="0" w:space="0" w:color="auto"/>
        <w:bottom w:val="none" w:sz="0" w:space="0" w:color="auto"/>
        <w:right w:val="none" w:sz="0" w:space="0" w:color="auto"/>
      </w:divBdr>
    </w:div>
    <w:div w:id="528683830">
      <w:bodyDiv w:val="1"/>
      <w:marLeft w:val="0"/>
      <w:marRight w:val="0"/>
      <w:marTop w:val="0"/>
      <w:marBottom w:val="0"/>
      <w:divBdr>
        <w:top w:val="none" w:sz="0" w:space="0" w:color="auto"/>
        <w:left w:val="none" w:sz="0" w:space="0" w:color="auto"/>
        <w:bottom w:val="none" w:sz="0" w:space="0" w:color="auto"/>
        <w:right w:val="none" w:sz="0" w:space="0" w:color="auto"/>
      </w:divBdr>
    </w:div>
    <w:div w:id="550503320">
      <w:bodyDiv w:val="1"/>
      <w:marLeft w:val="0"/>
      <w:marRight w:val="0"/>
      <w:marTop w:val="0"/>
      <w:marBottom w:val="0"/>
      <w:divBdr>
        <w:top w:val="none" w:sz="0" w:space="0" w:color="auto"/>
        <w:left w:val="none" w:sz="0" w:space="0" w:color="auto"/>
        <w:bottom w:val="none" w:sz="0" w:space="0" w:color="auto"/>
        <w:right w:val="none" w:sz="0" w:space="0" w:color="auto"/>
      </w:divBdr>
    </w:div>
    <w:div w:id="551502755">
      <w:bodyDiv w:val="1"/>
      <w:marLeft w:val="0"/>
      <w:marRight w:val="0"/>
      <w:marTop w:val="0"/>
      <w:marBottom w:val="0"/>
      <w:divBdr>
        <w:top w:val="none" w:sz="0" w:space="0" w:color="auto"/>
        <w:left w:val="none" w:sz="0" w:space="0" w:color="auto"/>
        <w:bottom w:val="none" w:sz="0" w:space="0" w:color="auto"/>
        <w:right w:val="none" w:sz="0" w:space="0" w:color="auto"/>
      </w:divBdr>
    </w:div>
    <w:div w:id="657539715">
      <w:bodyDiv w:val="1"/>
      <w:marLeft w:val="0"/>
      <w:marRight w:val="0"/>
      <w:marTop w:val="0"/>
      <w:marBottom w:val="0"/>
      <w:divBdr>
        <w:top w:val="none" w:sz="0" w:space="0" w:color="auto"/>
        <w:left w:val="none" w:sz="0" w:space="0" w:color="auto"/>
        <w:bottom w:val="none" w:sz="0" w:space="0" w:color="auto"/>
        <w:right w:val="none" w:sz="0" w:space="0" w:color="auto"/>
      </w:divBdr>
    </w:div>
    <w:div w:id="728112843">
      <w:bodyDiv w:val="1"/>
      <w:marLeft w:val="0"/>
      <w:marRight w:val="0"/>
      <w:marTop w:val="0"/>
      <w:marBottom w:val="0"/>
      <w:divBdr>
        <w:top w:val="none" w:sz="0" w:space="0" w:color="auto"/>
        <w:left w:val="none" w:sz="0" w:space="0" w:color="auto"/>
        <w:bottom w:val="none" w:sz="0" w:space="0" w:color="auto"/>
        <w:right w:val="none" w:sz="0" w:space="0" w:color="auto"/>
      </w:divBdr>
    </w:div>
    <w:div w:id="747112801">
      <w:bodyDiv w:val="1"/>
      <w:marLeft w:val="0"/>
      <w:marRight w:val="0"/>
      <w:marTop w:val="0"/>
      <w:marBottom w:val="0"/>
      <w:divBdr>
        <w:top w:val="none" w:sz="0" w:space="0" w:color="auto"/>
        <w:left w:val="none" w:sz="0" w:space="0" w:color="auto"/>
        <w:bottom w:val="none" w:sz="0" w:space="0" w:color="auto"/>
        <w:right w:val="none" w:sz="0" w:space="0" w:color="auto"/>
      </w:divBdr>
    </w:div>
    <w:div w:id="775293146">
      <w:bodyDiv w:val="1"/>
      <w:marLeft w:val="0"/>
      <w:marRight w:val="0"/>
      <w:marTop w:val="0"/>
      <w:marBottom w:val="0"/>
      <w:divBdr>
        <w:top w:val="none" w:sz="0" w:space="0" w:color="auto"/>
        <w:left w:val="none" w:sz="0" w:space="0" w:color="auto"/>
        <w:bottom w:val="none" w:sz="0" w:space="0" w:color="auto"/>
        <w:right w:val="none" w:sz="0" w:space="0" w:color="auto"/>
      </w:divBdr>
    </w:div>
    <w:div w:id="844563055">
      <w:bodyDiv w:val="1"/>
      <w:marLeft w:val="0"/>
      <w:marRight w:val="0"/>
      <w:marTop w:val="0"/>
      <w:marBottom w:val="0"/>
      <w:divBdr>
        <w:top w:val="none" w:sz="0" w:space="0" w:color="auto"/>
        <w:left w:val="none" w:sz="0" w:space="0" w:color="auto"/>
        <w:bottom w:val="none" w:sz="0" w:space="0" w:color="auto"/>
        <w:right w:val="none" w:sz="0" w:space="0" w:color="auto"/>
      </w:divBdr>
    </w:div>
    <w:div w:id="851646063">
      <w:bodyDiv w:val="1"/>
      <w:marLeft w:val="0"/>
      <w:marRight w:val="0"/>
      <w:marTop w:val="0"/>
      <w:marBottom w:val="0"/>
      <w:divBdr>
        <w:top w:val="none" w:sz="0" w:space="0" w:color="auto"/>
        <w:left w:val="none" w:sz="0" w:space="0" w:color="auto"/>
        <w:bottom w:val="none" w:sz="0" w:space="0" w:color="auto"/>
        <w:right w:val="none" w:sz="0" w:space="0" w:color="auto"/>
      </w:divBdr>
    </w:div>
    <w:div w:id="865563111">
      <w:bodyDiv w:val="1"/>
      <w:marLeft w:val="0"/>
      <w:marRight w:val="0"/>
      <w:marTop w:val="0"/>
      <w:marBottom w:val="0"/>
      <w:divBdr>
        <w:top w:val="none" w:sz="0" w:space="0" w:color="auto"/>
        <w:left w:val="none" w:sz="0" w:space="0" w:color="auto"/>
        <w:bottom w:val="none" w:sz="0" w:space="0" w:color="auto"/>
        <w:right w:val="none" w:sz="0" w:space="0" w:color="auto"/>
      </w:divBdr>
    </w:div>
    <w:div w:id="866791398">
      <w:bodyDiv w:val="1"/>
      <w:marLeft w:val="0"/>
      <w:marRight w:val="0"/>
      <w:marTop w:val="0"/>
      <w:marBottom w:val="0"/>
      <w:divBdr>
        <w:top w:val="none" w:sz="0" w:space="0" w:color="auto"/>
        <w:left w:val="none" w:sz="0" w:space="0" w:color="auto"/>
        <w:bottom w:val="none" w:sz="0" w:space="0" w:color="auto"/>
        <w:right w:val="none" w:sz="0" w:space="0" w:color="auto"/>
      </w:divBdr>
    </w:div>
    <w:div w:id="926766917">
      <w:bodyDiv w:val="1"/>
      <w:marLeft w:val="0"/>
      <w:marRight w:val="0"/>
      <w:marTop w:val="0"/>
      <w:marBottom w:val="0"/>
      <w:divBdr>
        <w:top w:val="none" w:sz="0" w:space="0" w:color="auto"/>
        <w:left w:val="none" w:sz="0" w:space="0" w:color="auto"/>
        <w:bottom w:val="none" w:sz="0" w:space="0" w:color="auto"/>
        <w:right w:val="none" w:sz="0" w:space="0" w:color="auto"/>
      </w:divBdr>
    </w:div>
    <w:div w:id="967510254">
      <w:bodyDiv w:val="1"/>
      <w:marLeft w:val="0"/>
      <w:marRight w:val="0"/>
      <w:marTop w:val="0"/>
      <w:marBottom w:val="0"/>
      <w:divBdr>
        <w:top w:val="none" w:sz="0" w:space="0" w:color="auto"/>
        <w:left w:val="none" w:sz="0" w:space="0" w:color="auto"/>
        <w:bottom w:val="none" w:sz="0" w:space="0" w:color="auto"/>
        <w:right w:val="none" w:sz="0" w:space="0" w:color="auto"/>
      </w:divBdr>
    </w:div>
    <w:div w:id="980378843">
      <w:bodyDiv w:val="1"/>
      <w:marLeft w:val="0"/>
      <w:marRight w:val="0"/>
      <w:marTop w:val="0"/>
      <w:marBottom w:val="0"/>
      <w:divBdr>
        <w:top w:val="none" w:sz="0" w:space="0" w:color="auto"/>
        <w:left w:val="none" w:sz="0" w:space="0" w:color="auto"/>
        <w:bottom w:val="none" w:sz="0" w:space="0" w:color="auto"/>
        <w:right w:val="none" w:sz="0" w:space="0" w:color="auto"/>
      </w:divBdr>
    </w:div>
    <w:div w:id="1001935572">
      <w:bodyDiv w:val="1"/>
      <w:marLeft w:val="0"/>
      <w:marRight w:val="0"/>
      <w:marTop w:val="0"/>
      <w:marBottom w:val="0"/>
      <w:divBdr>
        <w:top w:val="none" w:sz="0" w:space="0" w:color="auto"/>
        <w:left w:val="none" w:sz="0" w:space="0" w:color="auto"/>
        <w:bottom w:val="none" w:sz="0" w:space="0" w:color="auto"/>
        <w:right w:val="none" w:sz="0" w:space="0" w:color="auto"/>
      </w:divBdr>
    </w:div>
    <w:div w:id="1008212499">
      <w:bodyDiv w:val="1"/>
      <w:marLeft w:val="0"/>
      <w:marRight w:val="0"/>
      <w:marTop w:val="0"/>
      <w:marBottom w:val="0"/>
      <w:divBdr>
        <w:top w:val="none" w:sz="0" w:space="0" w:color="auto"/>
        <w:left w:val="none" w:sz="0" w:space="0" w:color="auto"/>
        <w:bottom w:val="none" w:sz="0" w:space="0" w:color="auto"/>
        <w:right w:val="none" w:sz="0" w:space="0" w:color="auto"/>
      </w:divBdr>
    </w:div>
    <w:div w:id="1054694686">
      <w:bodyDiv w:val="1"/>
      <w:marLeft w:val="0"/>
      <w:marRight w:val="0"/>
      <w:marTop w:val="0"/>
      <w:marBottom w:val="0"/>
      <w:divBdr>
        <w:top w:val="none" w:sz="0" w:space="0" w:color="auto"/>
        <w:left w:val="none" w:sz="0" w:space="0" w:color="auto"/>
        <w:bottom w:val="none" w:sz="0" w:space="0" w:color="auto"/>
        <w:right w:val="none" w:sz="0" w:space="0" w:color="auto"/>
      </w:divBdr>
    </w:div>
    <w:div w:id="1096167781">
      <w:bodyDiv w:val="1"/>
      <w:marLeft w:val="0"/>
      <w:marRight w:val="0"/>
      <w:marTop w:val="0"/>
      <w:marBottom w:val="0"/>
      <w:divBdr>
        <w:top w:val="none" w:sz="0" w:space="0" w:color="auto"/>
        <w:left w:val="none" w:sz="0" w:space="0" w:color="auto"/>
        <w:bottom w:val="none" w:sz="0" w:space="0" w:color="auto"/>
        <w:right w:val="none" w:sz="0" w:space="0" w:color="auto"/>
      </w:divBdr>
    </w:div>
    <w:div w:id="1103844588">
      <w:bodyDiv w:val="1"/>
      <w:marLeft w:val="0"/>
      <w:marRight w:val="0"/>
      <w:marTop w:val="0"/>
      <w:marBottom w:val="0"/>
      <w:divBdr>
        <w:top w:val="none" w:sz="0" w:space="0" w:color="auto"/>
        <w:left w:val="none" w:sz="0" w:space="0" w:color="auto"/>
        <w:bottom w:val="none" w:sz="0" w:space="0" w:color="auto"/>
        <w:right w:val="none" w:sz="0" w:space="0" w:color="auto"/>
      </w:divBdr>
    </w:div>
    <w:div w:id="1149520512">
      <w:bodyDiv w:val="1"/>
      <w:marLeft w:val="0"/>
      <w:marRight w:val="0"/>
      <w:marTop w:val="0"/>
      <w:marBottom w:val="0"/>
      <w:divBdr>
        <w:top w:val="none" w:sz="0" w:space="0" w:color="auto"/>
        <w:left w:val="none" w:sz="0" w:space="0" w:color="auto"/>
        <w:bottom w:val="none" w:sz="0" w:space="0" w:color="auto"/>
        <w:right w:val="none" w:sz="0" w:space="0" w:color="auto"/>
      </w:divBdr>
    </w:div>
    <w:div w:id="1159732639">
      <w:bodyDiv w:val="1"/>
      <w:marLeft w:val="0"/>
      <w:marRight w:val="0"/>
      <w:marTop w:val="0"/>
      <w:marBottom w:val="0"/>
      <w:divBdr>
        <w:top w:val="none" w:sz="0" w:space="0" w:color="auto"/>
        <w:left w:val="none" w:sz="0" w:space="0" w:color="auto"/>
        <w:bottom w:val="none" w:sz="0" w:space="0" w:color="auto"/>
        <w:right w:val="none" w:sz="0" w:space="0" w:color="auto"/>
      </w:divBdr>
    </w:div>
    <w:div w:id="1181775985">
      <w:bodyDiv w:val="1"/>
      <w:marLeft w:val="0"/>
      <w:marRight w:val="0"/>
      <w:marTop w:val="0"/>
      <w:marBottom w:val="0"/>
      <w:divBdr>
        <w:top w:val="none" w:sz="0" w:space="0" w:color="auto"/>
        <w:left w:val="none" w:sz="0" w:space="0" w:color="auto"/>
        <w:bottom w:val="none" w:sz="0" w:space="0" w:color="auto"/>
        <w:right w:val="none" w:sz="0" w:space="0" w:color="auto"/>
      </w:divBdr>
    </w:div>
    <w:div w:id="1205169238">
      <w:bodyDiv w:val="1"/>
      <w:marLeft w:val="0"/>
      <w:marRight w:val="0"/>
      <w:marTop w:val="0"/>
      <w:marBottom w:val="0"/>
      <w:divBdr>
        <w:top w:val="none" w:sz="0" w:space="0" w:color="auto"/>
        <w:left w:val="none" w:sz="0" w:space="0" w:color="auto"/>
        <w:bottom w:val="none" w:sz="0" w:space="0" w:color="auto"/>
        <w:right w:val="none" w:sz="0" w:space="0" w:color="auto"/>
      </w:divBdr>
    </w:div>
    <w:div w:id="1214347332">
      <w:bodyDiv w:val="1"/>
      <w:marLeft w:val="0"/>
      <w:marRight w:val="0"/>
      <w:marTop w:val="0"/>
      <w:marBottom w:val="0"/>
      <w:divBdr>
        <w:top w:val="none" w:sz="0" w:space="0" w:color="auto"/>
        <w:left w:val="none" w:sz="0" w:space="0" w:color="auto"/>
        <w:bottom w:val="none" w:sz="0" w:space="0" w:color="auto"/>
        <w:right w:val="none" w:sz="0" w:space="0" w:color="auto"/>
      </w:divBdr>
    </w:div>
    <w:div w:id="1220089047">
      <w:bodyDiv w:val="1"/>
      <w:marLeft w:val="0"/>
      <w:marRight w:val="0"/>
      <w:marTop w:val="0"/>
      <w:marBottom w:val="0"/>
      <w:divBdr>
        <w:top w:val="none" w:sz="0" w:space="0" w:color="auto"/>
        <w:left w:val="none" w:sz="0" w:space="0" w:color="auto"/>
        <w:bottom w:val="none" w:sz="0" w:space="0" w:color="auto"/>
        <w:right w:val="none" w:sz="0" w:space="0" w:color="auto"/>
      </w:divBdr>
    </w:div>
    <w:div w:id="1253277066">
      <w:bodyDiv w:val="1"/>
      <w:marLeft w:val="0"/>
      <w:marRight w:val="0"/>
      <w:marTop w:val="0"/>
      <w:marBottom w:val="0"/>
      <w:divBdr>
        <w:top w:val="none" w:sz="0" w:space="0" w:color="auto"/>
        <w:left w:val="none" w:sz="0" w:space="0" w:color="auto"/>
        <w:bottom w:val="none" w:sz="0" w:space="0" w:color="auto"/>
        <w:right w:val="none" w:sz="0" w:space="0" w:color="auto"/>
      </w:divBdr>
    </w:div>
    <w:div w:id="1264845073">
      <w:bodyDiv w:val="1"/>
      <w:marLeft w:val="0"/>
      <w:marRight w:val="0"/>
      <w:marTop w:val="0"/>
      <w:marBottom w:val="0"/>
      <w:divBdr>
        <w:top w:val="none" w:sz="0" w:space="0" w:color="auto"/>
        <w:left w:val="none" w:sz="0" w:space="0" w:color="auto"/>
        <w:bottom w:val="none" w:sz="0" w:space="0" w:color="auto"/>
        <w:right w:val="none" w:sz="0" w:space="0" w:color="auto"/>
      </w:divBdr>
    </w:div>
    <w:div w:id="1318992692">
      <w:bodyDiv w:val="1"/>
      <w:marLeft w:val="0"/>
      <w:marRight w:val="0"/>
      <w:marTop w:val="0"/>
      <w:marBottom w:val="0"/>
      <w:divBdr>
        <w:top w:val="none" w:sz="0" w:space="0" w:color="auto"/>
        <w:left w:val="none" w:sz="0" w:space="0" w:color="auto"/>
        <w:bottom w:val="none" w:sz="0" w:space="0" w:color="auto"/>
        <w:right w:val="none" w:sz="0" w:space="0" w:color="auto"/>
      </w:divBdr>
    </w:div>
    <w:div w:id="1324091137">
      <w:bodyDiv w:val="1"/>
      <w:marLeft w:val="0"/>
      <w:marRight w:val="0"/>
      <w:marTop w:val="0"/>
      <w:marBottom w:val="0"/>
      <w:divBdr>
        <w:top w:val="none" w:sz="0" w:space="0" w:color="auto"/>
        <w:left w:val="none" w:sz="0" w:space="0" w:color="auto"/>
        <w:bottom w:val="none" w:sz="0" w:space="0" w:color="auto"/>
        <w:right w:val="none" w:sz="0" w:space="0" w:color="auto"/>
      </w:divBdr>
    </w:div>
    <w:div w:id="1357926430">
      <w:bodyDiv w:val="1"/>
      <w:marLeft w:val="0"/>
      <w:marRight w:val="0"/>
      <w:marTop w:val="0"/>
      <w:marBottom w:val="0"/>
      <w:divBdr>
        <w:top w:val="none" w:sz="0" w:space="0" w:color="auto"/>
        <w:left w:val="none" w:sz="0" w:space="0" w:color="auto"/>
        <w:bottom w:val="none" w:sz="0" w:space="0" w:color="auto"/>
        <w:right w:val="none" w:sz="0" w:space="0" w:color="auto"/>
      </w:divBdr>
    </w:div>
    <w:div w:id="1358854255">
      <w:bodyDiv w:val="1"/>
      <w:marLeft w:val="0"/>
      <w:marRight w:val="0"/>
      <w:marTop w:val="0"/>
      <w:marBottom w:val="0"/>
      <w:divBdr>
        <w:top w:val="none" w:sz="0" w:space="0" w:color="auto"/>
        <w:left w:val="none" w:sz="0" w:space="0" w:color="auto"/>
        <w:bottom w:val="none" w:sz="0" w:space="0" w:color="auto"/>
        <w:right w:val="none" w:sz="0" w:space="0" w:color="auto"/>
      </w:divBdr>
    </w:div>
    <w:div w:id="1388067341">
      <w:bodyDiv w:val="1"/>
      <w:marLeft w:val="0"/>
      <w:marRight w:val="0"/>
      <w:marTop w:val="0"/>
      <w:marBottom w:val="0"/>
      <w:divBdr>
        <w:top w:val="none" w:sz="0" w:space="0" w:color="auto"/>
        <w:left w:val="none" w:sz="0" w:space="0" w:color="auto"/>
        <w:bottom w:val="none" w:sz="0" w:space="0" w:color="auto"/>
        <w:right w:val="none" w:sz="0" w:space="0" w:color="auto"/>
      </w:divBdr>
    </w:div>
    <w:div w:id="1390422103">
      <w:bodyDiv w:val="1"/>
      <w:marLeft w:val="0"/>
      <w:marRight w:val="0"/>
      <w:marTop w:val="0"/>
      <w:marBottom w:val="0"/>
      <w:divBdr>
        <w:top w:val="none" w:sz="0" w:space="0" w:color="auto"/>
        <w:left w:val="none" w:sz="0" w:space="0" w:color="auto"/>
        <w:bottom w:val="none" w:sz="0" w:space="0" w:color="auto"/>
        <w:right w:val="none" w:sz="0" w:space="0" w:color="auto"/>
      </w:divBdr>
    </w:div>
    <w:div w:id="1391424609">
      <w:bodyDiv w:val="1"/>
      <w:marLeft w:val="0"/>
      <w:marRight w:val="0"/>
      <w:marTop w:val="0"/>
      <w:marBottom w:val="0"/>
      <w:divBdr>
        <w:top w:val="none" w:sz="0" w:space="0" w:color="auto"/>
        <w:left w:val="none" w:sz="0" w:space="0" w:color="auto"/>
        <w:bottom w:val="none" w:sz="0" w:space="0" w:color="auto"/>
        <w:right w:val="none" w:sz="0" w:space="0" w:color="auto"/>
      </w:divBdr>
    </w:div>
    <w:div w:id="1430002153">
      <w:bodyDiv w:val="1"/>
      <w:marLeft w:val="0"/>
      <w:marRight w:val="0"/>
      <w:marTop w:val="0"/>
      <w:marBottom w:val="0"/>
      <w:divBdr>
        <w:top w:val="none" w:sz="0" w:space="0" w:color="auto"/>
        <w:left w:val="none" w:sz="0" w:space="0" w:color="auto"/>
        <w:bottom w:val="none" w:sz="0" w:space="0" w:color="auto"/>
        <w:right w:val="none" w:sz="0" w:space="0" w:color="auto"/>
      </w:divBdr>
    </w:div>
    <w:div w:id="1514344249">
      <w:bodyDiv w:val="1"/>
      <w:marLeft w:val="0"/>
      <w:marRight w:val="0"/>
      <w:marTop w:val="0"/>
      <w:marBottom w:val="0"/>
      <w:divBdr>
        <w:top w:val="none" w:sz="0" w:space="0" w:color="auto"/>
        <w:left w:val="none" w:sz="0" w:space="0" w:color="auto"/>
        <w:bottom w:val="none" w:sz="0" w:space="0" w:color="auto"/>
        <w:right w:val="none" w:sz="0" w:space="0" w:color="auto"/>
      </w:divBdr>
    </w:div>
    <w:div w:id="1557011159">
      <w:bodyDiv w:val="1"/>
      <w:marLeft w:val="0"/>
      <w:marRight w:val="0"/>
      <w:marTop w:val="0"/>
      <w:marBottom w:val="0"/>
      <w:divBdr>
        <w:top w:val="none" w:sz="0" w:space="0" w:color="auto"/>
        <w:left w:val="none" w:sz="0" w:space="0" w:color="auto"/>
        <w:bottom w:val="none" w:sz="0" w:space="0" w:color="auto"/>
        <w:right w:val="none" w:sz="0" w:space="0" w:color="auto"/>
      </w:divBdr>
    </w:div>
    <w:div w:id="1560439317">
      <w:bodyDiv w:val="1"/>
      <w:marLeft w:val="0"/>
      <w:marRight w:val="0"/>
      <w:marTop w:val="0"/>
      <w:marBottom w:val="0"/>
      <w:divBdr>
        <w:top w:val="none" w:sz="0" w:space="0" w:color="auto"/>
        <w:left w:val="none" w:sz="0" w:space="0" w:color="auto"/>
        <w:bottom w:val="none" w:sz="0" w:space="0" w:color="auto"/>
        <w:right w:val="none" w:sz="0" w:space="0" w:color="auto"/>
      </w:divBdr>
    </w:div>
    <w:div w:id="1572470983">
      <w:bodyDiv w:val="1"/>
      <w:marLeft w:val="0"/>
      <w:marRight w:val="0"/>
      <w:marTop w:val="0"/>
      <w:marBottom w:val="0"/>
      <w:divBdr>
        <w:top w:val="none" w:sz="0" w:space="0" w:color="auto"/>
        <w:left w:val="none" w:sz="0" w:space="0" w:color="auto"/>
        <w:bottom w:val="none" w:sz="0" w:space="0" w:color="auto"/>
        <w:right w:val="none" w:sz="0" w:space="0" w:color="auto"/>
      </w:divBdr>
    </w:div>
    <w:div w:id="1577476527">
      <w:bodyDiv w:val="1"/>
      <w:marLeft w:val="0"/>
      <w:marRight w:val="0"/>
      <w:marTop w:val="0"/>
      <w:marBottom w:val="0"/>
      <w:divBdr>
        <w:top w:val="none" w:sz="0" w:space="0" w:color="auto"/>
        <w:left w:val="none" w:sz="0" w:space="0" w:color="auto"/>
        <w:bottom w:val="none" w:sz="0" w:space="0" w:color="auto"/>
        <w:right w:val="none" w:sz="0" w:space="0" w:color="auto"/>
      </w:divBdr>
    </w:div>
    <w:div w:id="1592809491">
      <w:bodyDiv w:val="1"/>
      <w:marLeft w:val="0"/>
      <w:marRight w:val="0"/>
      <w:marTop w:val="0"/>
      <w:marBottom w:val="0"/>
      <w:divBdr>
        <w:top w:val="none" w:sz="0" w:space="0" w:color="auto"/>
        <w:left w:val="none" w:sz="0" w:space="0" w:color="auto"/>
        <w:bottom w:val="none" w:sz="0" w:space="0" w:color="auto"/>
        <w:right w:val="none" w:sz="0" w:space="0" w:color="auto"/>
      </w:divBdr>
    </w:div>
    <w:div w:id="1620261684">
      <w:bodyDiv w:val="1"/>
      <w:marLeft w:val="0"/>
      <w:marRight w:val="0"/>
      <w:marTop w:val="0"/>
      <w:marBottom w:val="0"/>
      <w:divBdr>
        <w:top w:val="none" w:sz="0" w:space="0" w:color="auto"/>
        <w:left w:val="none" w:sz="0" w:space="0" w:color="auto"/>
        <w:bottom w:val="none" w:sz="0" w:space="0" w:color="auto"/>
        <w:right w:val="none" w:sz="0" w:space="0" w:color="auto"/>
      </w:divBdr>
    </w:div>
    <w:div w:id="1624995044">
      <w:bodyDiv w:val="1"/>
      <w:marLeft w:val="0"/>
      <w:marRight w:val="0"/>
      <w:marTop w:val="0"/>
      <w:marBottom w:val="0"/>
      <w:divBdr>
        <w:top w:val="none" w:sz="0" w:space="0" w:color="auto"/>
        <w:left w:val="none" w:sz="0" w:space="0" w:color="auto"/>
        <w:bottom w:val="none" w:sz="0" w:space="0" w:color="auto"/>
        <w:right w:val="none" w:sz="0" w:space="0" w:color="auto"/>
      </w:divBdr>
    </w:div>
    <w:div w:id="1634796748">
      <w:bodyDiv w:val="1"/>
      <w:marLeft w:val="0"/>
      <w:marRight w:val="0"/>
      <w:marTop w:val="0"/>
      <w:marBottom w:val="0"/>
      <w:divBdr>
        <w:top w:val="none" w:sz="0" w:space="0" w:color="auto"/>
        <w:left w:val="none" w:sz="0" w:space="0" w:color="auto"/>
        <w:bottom w:val="none" w:sz="0" w:space="0" w:color="auto"/>
        <w:right w:val="none" w:sz="0" w:space="0" w:color="auto"/>
      </w:divBdr>
    </w:div>
    <w:div w:id="1658342066">
      <w:bodyDiv w:val="1"/>
      <w:marLeft w:val="0"/>
      <w:marRight w:val="0"/>
      <w:marTop w:val="0"/>
      <w:marBottom w:val="0"/>
      <w:divBdr>
        <w:top w:val="none" w:sz="0" w:space="0" w:color="auto"/>
        <w:left w:val="none" w:sz="0" w:space="0" w:color="auto"/>
        <w:bottom w:val="none" w:sz="0" w:space="0" w:color="auto"/>
        <w:right w:val="none" w:sz="0" w:space="0" w:color="auto"/>
      </w:divBdr>
    </w:div>
    <w:div w:id="1681620288">
      <w:bodyDiv w:val="1"/>
      <w:marLeft w:val="0"/>
      <w:marRight w:val="0"/>
      <w:marTop w:val="0"/>
      <w:marBottom w:val="0"/>
      <w:divBdr>
        <w:top w:val="none" w:sz="0" w:space="0" w:color="auto"/>
        <w:left w:val="none" w:sz="0" w:space="0" w:color="auto"/>
        <w:bottom w:val="none" w:sz="0" w:space="0" w:color="auto"/>
        <w:right w:val="none" w:sz="0" w:space="0" w:color="auto"/>
      </w:divBdr>
    </w:div>
    <w:div w:id="1760128327">
      <w:bodyDiv w:val="1"/>
      <w:marLeft w:val="0"/>
      <w:marRight w:val="0"/>
      <w:marTop w:val="0"/>
      <w:marBottom w:val="0"/>
      <w:divBdr>
        <w:top w:val="none" w:sz="0" w:space="0" w:color="auto"/>
        <w:left w:val="none" w:sz="0" w:space="0" w:color="auto"/>
        <w:bottom w:val="none" w:sz="0" w:space="0" w:color="auto"/>
        <w:right w:val="none" w:sz="0" w:space="0" w:color="auto"/>
      </w:divBdr>
    </w:div>
    <w:div w:id="1846553256">
      <w:bodyDiv w:val="1"/>
      <w:marLeft w:val="0"/>
      <w:marRight w:val="0"/>
      <w:marTop w:val="0"/>
      <w:marBottom w:val="0"/>
      <w:divBdr>
        <w:top w:val="none" w:sz="0" w:space="0" w:color="auto"/>
        <w:left w:val="none" w:sz="0" w:space="0" w:color="auto"/>
        <w:bottom w:val="none" w:sz="0" w:space="0" w:color="auto"/>
        <w:right w:val="none" w:sz="0" w:space="0" w:color="auto"/>
      </w:divBdr>
    </w:div>
    <w:div w:id="1863978919">
      <w:bodyDiv w:val="1"/>
      <w:marLeft w:val="0"/>
      <w:marRight w:val="0"/>
      <w:marTop w:val="0"/>
      <w:marBottom w:val="0"/>
      <w:divBdr>
        <w:top w:val="none" w:sz="0" w:space="0" w:color="auto"/>
        <w:left w:val="none" w:sz="0" w:space="0" w:color="auto"/>
        <w:bottom w:val="none" w:sz="0" w:space="0" w:color="auto"/>
        <w:right w:val="none" w:sz="0" w:space="0" w:color="auto"/>
      </w:divBdr>
    </w:div>
    <w:div w:id="1874461254">
      <w:bodyDiv w:val="1"/>
      <w:marLeft w:val="0"/>
      <w:marRight w:val="0"/>
      <w:marTop w:val="0"/>
      <w:marBottom w:val="0"/>
      <w:divBdr>
        <w:top w:val="none" w:sz="0" w:space="0" w:color="auto"/>
        <w:left w:val="none" w:sz="0" w:space="0" w:color="auto"/>
        <w:bottom w:val="none" w:sz="0" w:space="0" w:color="auto"/>
        <w:right w:val="none" w:sz="0" w:space="0" w:color="auto"/>
      </w:divBdr>
    </w:div>
    <w:div w:id="1923295174">
      <w:bodyDiv w:val="1"/>
      <w:marLeft w:val="0"/>
      <w:marRight w:val="0"/>
      <w:marTop w:val="0"/>
      <w:marBottom w:val="0"/>
      <w:divBdr>
        <w:top w:val="none" w:sz="0" w:space="0" w:color="auto"/>
        <w:left w:val="none" w:sz="0" w:space="0" w:color="auto"/>
        <w:bottom w:val="none" w:sz="0" w:space="0" w:color="auto"/>
        <w:right w:val="none" w:sz="0" w:space="0" w:color="auto"/>
      </w:divBdr>
    </w:div>
    <w:div w:id="1924103635">
      <w:bodyDiv w:val="1"/>
      <w:marLeft w:val="0"/>
      <w:marRight w:val="0"/>
      <w:marTop w:val="0"/>
      <w:marBottom w:val="0"/>
      <w:divBdr>
        <w:top w:val="none" w:sz="0" w:space="0" w:color="auto"/>
        <w:left w:val="none" w:sz="0" w:space="0" w:color="auto"/>
        <w:bottom w:val="none" w:sz="0" w:space="0" w:color="auto"/>
        <w:right w:val="none" w:sz="0" w:space="0" w:color="auto"/>
      </w:divBdr>
    </w:div>
    <w:div w:id="1990017117">
      <w:bodyDiv w:val="1"/>
      <w:marLeft w:val="0"/>
      <w:marRight w:val="0"/>
      <w:marTop w:val="0"/>
      <w:marBottom w:val="0"/>
      <w:divBdr>
        <w:top w:val="none" w:sz="0" w:space="0" w:color="auto"/>
        <w:left w:val="none" w:sz="0" w:space="0" w:color="auto"/>
        <w:bottom w:val="none" w:sz="0" w:space="0" w:color="auto"/>
        <w:right w:val="none" w:sz="0" w:space="0" w:color="auto"/>
      </w:divBdr>
    </w:div>
    <w:div w:id="2014910362">
      <w:bodyDiv w:val="1"/>
      <w:marLeft w:val="0"/>
      <w:marRight w:val="0"/>
      <w:marTop w:val="0"/>
      <w:marBottom w:val="0"/>
      <w:divBdr>
        <w:top w:val="none" w:sz="0" w:space="0" w:color="auto"/>
        <w:left w:val="none" w:sz="0" w:space="0" w:color="auto"/>
        <w:bottom w:val="none" w:sz="0" w:space="0" w:color="auto"/>
        <w:right w:val="none" w:sz="0" w:space="0" w:color="auto"/>
      </w:divBdr>
    </w:div>
    <w:div w:id="2057460367">
      <w:bodyDiv w:val="1"/>
      <w:marLeft w:val="0"/>
      <w:marRight w:val="0"/>
      <w:marTop w:val="0"/>
      <w:marBottom w:val="0"/>
      <w:divBdr>
        <w:top w:val="none" w:sz="0" w:space="0" w:color="auto"/>
        <w:left w:val="none" w:sz="0" w:space="0" w:color="auto"/>
        <w:bottom w:val="none" w:sz="0" w:space="0" w:color="auto"/>
        <w:right w:val="none" w:sz="0" w:space="0" w:color="auto"/>
      </w:divBdr>
    </w:div>
    <w:div w:id="2079470449">
      <w:bodyDiv w:val="1"/>
      <w:marLeft w:val="0"/>
      <w:marRight w:val="0"/>
      <w:marTop w:val="0"/>
      <w:marBottom w:val="0"/>
      <w:divBdr>
        <w:top w:val="none" w:sz="0" w:space="0" w:color="auto"/>
        <w:left w:val="none" w:sz="0" w:space="0" w:color="auto"/>
        <w:bottom w:val="none" w:sz="0" w:space="0" w:color="auto"/>
        <w:right w:val="none" w:sz="0" w:space="0" w:color="auto"/>
      </w:divBdr>
    </w:div>
    <w:div w:id="212395927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footer" Target="footer2.xml"/><Relationship Id="rId18" Type="http://schemas.openxmlformats.org/officeDocument/2006/relationships/theme" Target="theme/theme1.xml"/><Relationship Id="rId3" Type="http://schemas.openxmlformats.org/officeDocument/2006/relationships/numbering" Target="numbering.xml"/><Relationship Id="rId7" Type="http://schemas.openxmlformats.org/officeDocument/2006/relationships/footnotes" Target="footnotes.xml"/><Relationship Id="rId12" Type="http://schemas.openxmlformats.org/officeDocument/2006/relationships/footer" Target="footer1.xml"/><Relationship Id="rId17" Type="http://schemas.openxmlformats.org/officeDocument/2006/relationships/glossaryDocument" Target="glossary/document.xml"/><Relationship Id="rId2" Type="http://schemas.openxmlformats.org/officeDocument/2006/relationships/customXml" Target="../customXml/item2.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header" Target="header2.xml"/><Relationship Id="rId5" Type="http://schemas.openxmlformats.org/officeDocument/2006/relationships/settings" Target="settings.xml"/><Relationship Id="rId15" Type="http://schemas.openxmlformats.org/officeDocument/2006/relationships/footer" Target="footer3.xml"/><Relationship Id="rId10" Type="http://schemas.openxmlformats.org/officeDocument/2006/relationships/header" Target="header1.xml"/><Relationship Id="rId4" Type="http://schemas.openxmlformats.org/officeDocument/2006/relationships/styles" Target="styles.xml"/><Relationship Id="rId9" Type="http://schemas.openxmlformats.org/officeDocument/2006/relationships/image" Target="media/image1.png"/><Relationship Id="rId14" Type="http://schemas.openxmlformats.org/officeDocument/2006/relationships/header" Target="header3.xml"/><Relationship Id="sigAliKaan" Type="http://schemas.openxmlformats.org/officeDocument/2006/relationships/image" Target="media/sig_ali_kaan.png"/><Relationship Id="sigFatih" Type="http://schemas.openxmlformats.org/officeDocument/2006/relationships/image" Target="media/sig_fatih.png"/></Relationships>
</file>

<file path=word/_rels/header2.xml.rels><?xml version="1.0" encoding="UTF-8" standalone="yes"?>
<Relationships xmlns="http://schemas.openxmlformats.org/package/2006/relationships"><Relationship Id="rId1" Type="http://schemas.openxmlformats.org/officeDocument/2006/relationships/image" Target="media/image2.png"/></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DefaultPlaceholder_-1854013440"/>
        <w:category>
          <w:name w:val="Genel"/>
          <w:gallery w:val="placeholder"/>
        </w:category>
        <w:types>
          <w:type w:val="bbPlcHdr"/>
        </w:types>
        <w:behaviors>
          <w:behavior w:val="content"/>
        </w:behaviors>
        <w:guid w:val="{1F56AAC9-B6F4-4C6C-BE65-649CD141F68B}"/>
      </w:docPartPr>
      <w:docPartBody>
        <w:p w:rsidR="00090E72" w:rsidRDefault="002C0CFE">
          <w:r w:rsidRPr="00F415EF">
            <w:rPr>
              <w:rStyle w:val="YerTutucuMetni"/>
            </w:rPr>
            <w:t>Metin girmek için buraya tıklayın veya dokunun.</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Arial Narrow">
    <w:panose1 w:val="020B0606020202030204"/>
    <w:charset w:val="A2"/>
    <w:family w:val="swiss"/>
    <w:pitch w:val="variable"/>
    <w:sig w:usb0="00000287" w:usb1="00000800" w:usb2="00000000" w:usb3="00000000" w:csb0="0000009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revisionView w:inkAnnotations="0"/>
  <w:defaultTabStop w:val="708"/>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C0CFE"/>
    <w:rsid w:val="00017CE9"/>
    <w:rsid w:val="00021CC0"/>
    <w:rsid w:val="00023095"/>
    <w:rsid w:val="000750D9"/>
    <w:rsid w:val="00081BA6"/>
    <w:rsid w:val="00090E72"/>
    <w:rsid w:val="00093C80"/>
    <w:rsid w:val="000A73BD"/>
    <w:rsid w:val="000B537F"/>
    <w:rsid w:val="000F7877"/>
    <w:rsid w:val="00107AB4"/>
    <w:rsid w:val="00143992"/>
    <w:rsid w:val="0019348A"/>
    <w:rsid w:val="001A3BD1"/>
    <w:rsid w:val="001B69EF"/>
    <w:rsid w:val="001D6AA6"/>
    <w:rsid w:val="001E4606"/>
    <w:rsid w:val="001F3854"/>
    <w:rsid w:val="00210C44"/>
    <w:rsid w:val="00223294"/>
    <w:rsid w:val="002501D2"/>
    <w:rsid w:val="0029660E"/>
    <w:rsid w:val="002A3CD9"/>
    <w:rsid w:val="002B68BC"/>
    <w:rsid w:val="002C0CFE"/>
    <w:rsid w:val="003215E4"/>
    <w:rsid w:val="00326869"/>
    <w:rsid w:val="003460DE"/>
    <w:rsid w:val="00373DD8"/>
    <w:rsid w:val="003C3209"/>
    <w:rsid w:val="003E7E7B"/>
    <w:rsid w:val="003F71E6"/>
    <w:rsid w:val="00447DA3"/>
    <w:rsid w:val="004513FC"/>
    <w:rsid w:val="00476AE3"/>
    <w:rsid w:val="00487653"/>
    <w:rsid w:val="0051052E"/>
    <w:rsid w:val="00515A45"/>
    <w:rsid w:val="00566A66"/>
    <w:rsid w:val="005B67CE"/>
    <w:rsid w:val="005D0442"/>
    <w:rsid w:val="00605F5D"/>
    <w:rsid w:val="00627B21"/>
    <w:rsid w:val="00641B2A"/>
    <w:rsid w:val="006454F2"/>
    <w:rsid w:val="006837A2"/>
    <w:rsid w:val="006A6FC4"/>
    <w:rsid w:val="006E4058"/>
    <w:rsid w:val="0070693E"/>
    <w:rsid w:val="0071643F"/>
    <w:rsid w:val="00722FD3"/>
    <w:rsid w:val="00747B30"/>
    <w:rsid w:val="007554B4"/>
    <w:rsid w:val="00762455"/>
    <w:rsid w:val="007F5D6A"/>
    <w:rsid w:val="00866CF5"/>
    <w:rsid w:val="00895B8F"/>
    <w:rsid w:val="008B6695"/>
    <w:rsid w:val="008C6B10"/>
    <w:rsid w:val="00920AE2"/>
    <w:rsid w:val="00925D36"/>
    <w:rsid w:val="00940B59"/>
    <w:rsid w:val="009708BE"/>
    <w:rsid w:val="00971BD1"/>
    <w:rsid w:val="009C56FE"/>
    <w:rsid w:val="009D703C"/>
    <w:rsid w:val="009E0249"/>
    <w:rsid w:val="00A137A2"/>
    <w:rsid w:val="00A54F18"/>
    <w:rsid w:val="00A72BC5"/>
    <w:rsid w:val="00AB40AE"/>
    <w:rsid w:val="00AC109B"/>
    <w:rsid w:val="00AD050C"/>
    <w:rsid w:val="00AD1A22"/>
    <w:rsid w:val="00AE1B01"/>
    <w:rsid w:val="00B43BFC"/>
    <w:rsid w:val="00B44765"/>
    <w:rsid w:val="00BB4027"/>
    <w:rsid w:val="00BB5FDD"/>
    <w:rsid w:val="00BC41C8"/>
    <w:rsid w:val="00BC4554"/>
    <w:rsid w:val="00BC704A"/>
    <w:rsid w:val="00BE216B"/>
    <w:rsid w:val="00BE220E"/>
    <w:rsid w:val="00BE5E22"/>
    <w:rsid w:val="00BF4729"/>
    <w:rsid w:val="00C05C08"/>
    <w:rsid w:val="00C33423"/>
    <w:rsid w:val="00C75A1D"/>
    <w:rsid w:val="00CB5E6B"/>
    <w:rsid w:val="00CF11C7"/>
    <w:rsid w:val="00CF7B31"/>
    <w:rsid w:val="00D45C45"/>
    <w:rsid w:val="00D65381"/>
    <w:rsid w:val="00DA7ED9"/>
    <w:rsid w:val="00DE2477"/>
    <w:rsid w:val="00DE424B"/>
    <w:rsid w:val="00DF337F"/>
    <w:rsid w:val="00E0225F"/>
    <w:rsid w:val="00E25F30"/>
    <w:rsid w:val="00E70200"/>
    <w:rsid w:val="00E96823"/>
    <w:rsid w:val="00ED47EE"/>
    <w:rsid w:val="00EE5E4F"/>
    <w:rsid w:val="00F5548F"/>
    <w:rsid w:val="00F72422"/>
    <w:rsid w:val="00F747B3"/>
    <w:rsid w:val="00FD787C"/>
    <w:rsid w:val="00FF15A4"/>
    <w:rsid w:val="00FF781C"/>
  </w:rsids>
  <m:mathPr>
    <m:mathFont m:val="Cambria Math"/>
    <m:brkBin m:val="before"/>
    <m:brkBinSub m:val="--"/>
    <m:smallFrac m:val="0"/>
    <m:dispDef/>
    <m:lMargin m:val="0"/>
    <m:rMargin m:val="0"/>
    <m:defJc m:val="centerGroup"/>
    <m:wrapIndent m:val="1440"/>
    <m:intLim m:val="subSup"/>
    <m:naryLim m:val="undOvr"/>
  </m:mathPr>
  <w:themeFontLang w:val="tr-TR" w:bidi="ar-SA"/>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tr-TR" w:eastAsia="tr-TR"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VarsaylanParagrafYazTipi">
    <w:name w:val="Default Paragraph Font"/>
    <w:uiPriority w:val="1"/>
    <w:semiHidden/>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character" w:styleId="YerTutucuMetni">
    <w:name w:val="Placeholder Text"/>
    <w:basedOn w:val="VarsaylanParagrafYazTipi"/>
    <w:uiPriority w:val="99"/>
    <w:semiHidden/>
    <w:rsid w:val="002C0CFE"/>
    <w:rPr>
      <w:color w:val="666666"/>
    </w:r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GTBClassification>
  <attrValue xml:space="preserve">Secret\Gizli</attrValue>
  <customPropName>Classification</customPropName>
  <timestamp>16.01.2025 11:27:23</timestamp>
  <userName>System</userName>
  <computerName>ERYTRN053.EROGLUGYO.CORP</computerName>
  <guid>{0a211e8a-580c-4039-b284-14b7fb425500}</guid>
  <hdr>
    <r>
      <fontName>arial</fontName>
      <fontColor>000000</fontColor>
      <fontSize>8</fontSize>
      <b/>
      <text xml:space="preserve">Classification:</text>
    </r>
    <r>
      <fontName>arial</fontName>
      <fontColor>000000</fontColor>
      <fontSize>8</fontSize>
      <text xml:space="preserve"> </text>
    </r>
    <r>
      <fontName>arial</fontName>
      <fontColor>FF0000</fontColor>
      <fontSize>8</fontSize>
      <b/>
      <text xml:space="preserve">Secret\Gizli</text>
    </r>
  </hdr>
</GTBClassification>
</file>

<file path=customXml/itemProps1.xml><?xml version="1.0" encoding="utf-8"?>
<ds:datastoreItem xmlns:ds="http://schemas.openxmlformats.org/officeDocument/2006/customXml" ds:itemID="{3393B30C-C971-4599-AAA6-137CA7B058DD}">
  <ds:schemaRefs>
    <ds:schemaRef ds:uri="http://schemas.openxmlformats.org/officeDocument/2006/bibliography"/>
  </ds:schemaRefs>
</ds:datastoreItem>
</file>

<file path=customXml/itemProps2.xml><?xml version="1.0" encoding="utf-8"?>
<ds:datastoreItem xmlns:ds="http://schemas.openxmlformats.org/officeDocument/2006/customXml" ds:itemID="{07AAF223-007F-49D6-9D3A-C194D3F78A8F}">
  <ds:schemaRefs/>
</ds:datastoreItem>
</file>

<file path=docProps/app.xml><?xml version="1.0" encoding="utf-8"?>
<Properties xmlns="http://schemas.openxmlformats.org/officeDocument/2006/extended-properties" xmlns:vt="http://schemas.openxmlformats.org/officeDocument/2006/docPropsVTypes">
  <Template>Normal</Template>
  <TotalTime>11</TotalTime>
  <Pages>1</Pages>
  <Words>557</Words>
  <Characters>3180</Characters>
  <Application>Microsoft Office Word</Application>
  <DocSecurity>0</DocSecurity>
  <Lines>26</Lines>
  <Paragraphs>7</Paragraphs>
  <ScaleCrop>false</ScaleCrop>
  <HeadingPairs>
    <vt:vector size="4" baseType="variant">
      <vt:variant>
        <vt:lpstr>Title</vt:lpstr>
      </vt:variant>
      <vt:variant>
        <vt:i4>1</vt:i4>
      </vt:variant>
      <vt:variant>
        <vt:lpstr>Konu Başlığı</vt:lpstr>
      </vt:variant>
      <vt:variant>
        <vt:i4>1</vt:i4>
      </vt:variant>
    </vt:vector>
  </HeadingPairs>
  <TitlesOfParts>
    <vt:vector size="2" baseType="lpstr">
      <vt:lpstr/>
      <vt:lpstr/>
    </vt:vector>
  </TitlesOfParts>
  <Company/>
  <LinksUpToDate>false</LinksUpToDate>
  <CharactersWithSpaces>3730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subject/>
  <dc:creator>RAHMI ATAS</dc:creator>
  <cp:keywords>ClassificationData:&lt;Classification:Secret\Gizli&gt;</cp:keywords>
  <dc:description/>
  <cp:lastModifiedBy>ABDULLAH BAYDOGAN</cp:lastModifiedBy>
  <cp:revision>13</cp:revision>
  <cp:lastPrinted>2025-01-16T06:13:00Z</cp:lastPrinted>
  <dcterms:created xsi:type="dcterms:W3CDTF">2025-05-06T12:45:00Z</dcterms:created>
  <dcterms:modified xsi:type="dcterms:W3CDTF">2026-10-02T10:32:00Z</dcterms:modified>
  <dc:title>EMS.ÜR.PRO.05.12. FINISHED GOODS LOTTING AND LOT IDENTIFICATION PROCEDURE</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a331a5016237bbbc68ad32e9f299290299ee2fc121fe21f0ecbb0b000498c241</vt:lpwstr>
  </property>
  <property fmtid="{D5CDD505-2E9C-101B-9397-08002B2CF9AE}" pid="3" name="Classification">
    <vt:lpwstr>Secret\Gizli</vt:lpwstr>
  </property>
  <property fmtid="{D5CDD505-2E9C-101B-9397-08002B2CF9AE}" pid="4" name="ClassifiedBy">
    <vt:lpwstr>System</vt:lpwstr>
  </property>
  <property fmtid="{D5CDD505-2E9C-101B-9397-08002B2CF9AE}" pid="5" name="ClassificationHost">
    <vt:lpwstr>ERYTRN053.EROGLUGYO.CORP</vt:lpwstr>
  </property>
  <property fmtid="{D5CDD505-2E9C-101B-9397-08002B2CF9AE}" pid="6" name="ClassificationDate">
    <vt:lpwstr>16.01.2025 11:27:23</vt:lpwstr>
  </property>
  <property fmtid="{D5CDD505-2E9C-101B-9397-08002B2CF9AE}" pid="7" name="ClassificationGUID">
    <vt:lpwstr>{0a211e8a-580c-4039-b284-14b7fb425500}</vt:lpwstr>
  </property>
</Properties>
</file>