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the shade of lab dips, dye lots and finished fabric is checked visually in the light box against the approved standard at Eroglu Knitting (EMS), so that colour differences and metamerism are detected before the fabric goes to cutting.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shade checks in the laboratory, dyehouse, finishing and fabric quality control, and to all staff authorised for shade assessment.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Keeps the light boxes and shade standards in good condition, arranges lamp replacement and authorises assessors.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Assessor (Laboratory / Dyehouse / QC):</w:t>
      </w:r>
      <w:r>
        <w:rPr>
          <w:rFonts w:ascii="Calibri" w:hAnsi="Calibri" w:cs="Arial"/>
          <w:sz w:val="24"/>
          <w:szCs w:val="24"/>
        </w:rPr>
        <w:t xml:space="preserve"> Carries out the check according to this instruction and records the result.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Decides on correction or reprocessing of rejected lots.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D65:</w:t>
      </w:r>
      <w:r>
        <w:rPr>
          <w:rFonts w:ascii="Calibri" w:hAnsi="Calibri" w:cs="Arial"/>
          <w:sz w:val="24"/>
          <w:szCs w:val="24"/>
        </w:rPr>
        <w:t xml:space="preserve"> Standard artificial daylight source, normally used as the primary light source for shade evaluation.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Metamerism:</w:t>
      </w:r>
      <w:r>
        <w:rPr>
          <w:rFonts w:ascii="Calibri" w:hAnsi="Calibri" w:cs="Arial"/>
          <w:sz w:val="24"/>
          <w:szCs w:val="24"/>
        </w:rPr>
        <w:t xml:space="preserve"> Two samples match under one light source but look different under another.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Grey Scale:</w:t>
      </w:r>
      <w:r>
        <w:rPr>
          <w:rFonts w:ascii="Calibri" w:hAnsi="Calibri" w:cs="Arial"/>
          <w:sz w:val="24"/>
          <w:szCs w:val="24"/>
        </w:rPr>
        <w:t xml:space="preserve"> The ISO 105-A02 grey scale used to rate colour difference (grade 5 = no difference).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that the light box lamps required by the customer (e.g. D65, TL84, A and UV) work and are within the service hours recorded on the lamp log.</w:t>
      </w:r>
    </w:p>
    <w:p>
      <w:pPr>
        <w:pStyle w:val="ListeParagraf"/>
        <w:spacing w:after="80"/>
        <w:ind w:left="709" w:right="0"/>
        <w:jc w:val="both"/>
      </w:pPr>
      <w:r>
        <w:rPr>
          <w:rFonts w:ascii="Calibri" w:hAnsi="Calibri" w:cs="Arial"/>
          <w:sz w:val="24"/>
          <w:szCs w:val="24"/>
        </w:rPr>
        <w:t xml:space="preserve">1.2. Use only an approved standard (customer standard or approved lab dip) that is clean, undamaged and within its validity date.</w:t>
      </w:r>
    </w:p>
    <w:p>
      <w:pPr>
        <w:pStyle w:val="ListeParagraf"/>
        <w:spacing w:after="80"/>
        <w:ind w:left="709" w:right="0"/>
        <w:jc w:val="both"/>
      </w:pPr>
      <w:r>
        <w:rPr>
          <w:rFonts w:ascii="Calibri" w:hAnsi="Calibri" w:cs="Arial"/>
          <w:sz w:val="24"/>
          <w:szCs w:val="24"/>
        </w:rPr>
        <w:t xml:space="preserve">1.3. The sample must be dry, cool and flat; wet or hot samples are not assessed.</w:t>
      </w:r>
    </w:p>
    <w:p>
      <w:pPr>
        <w:pStyle w:val="ListeParagraf"/>
        <w:spacing w:after="80"/>
        <w:ind w:left="709" w:right="0"/>
        <w:jc w:val="both"/>
      </w:pPr>
      <w:r>
        <w:rPr>
          <w:rFonts w:ascii="Calibri" w:hAnsi="Calibri" w:cs="Arial"/>
          <w:sz w:val="24"/>
          <w:szCs w:val="24"/>
        </w:rPr>
        <w:t xml:space="preserve">1.4. Only assessors who have passed a colour vision test may assess shade; tinted glasses are not worn during assessment.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w:t>
      </w:r>
    </w:p>
    <w:p>
      <w:pPr>
        <w:pStyle w:val="ListeParagraf"/>
        <w:spacing w:after="80"/>
        <w:ind w:left="709" w:right="0"/>
        <w:jc w:val="both"/>
      </w:pPr>
      <w:r>
        <w:rPr>
          <w:rFonts w:ascii="Calibri" w:hAnsi="Calibri" w:cs="Arial"/>
          <w:sz w:val="24"/>
          <w:szCs w:val="24"/>
        </w:rPr>
        <w:t xml:space="preserve">2.1. Place the standard and the sample side by side, in the same direction, on the neutral grey base of the light box and view them at an angle of about 45°.</w:t>
      </w:r>
    </w:p>
    <w:p>
      <w:pPr>
        <w:pStyle w:val="ListeParagraf"/>
        <w:spacing w:after="80"/>
        <w:ind w:left="709" w:right="0"/>
        <w:jc w:val="both"/>
      </w:pPr>
      <w:r>
        <w:rPr>
          <w:rFonts w:ascii="Calibri" w:hAnsi="Calibri" w:cs="Arial"/>
          <w:sz w:val="24"/>
          <w:szCs w:val="24"/>
        </w:rPr>
        <w:t xml:space="preserve">2.2. Assess first under the primary light source required by the customer, then under the secondary light sources to check for metamerism.</w:t>
      </w:r>
    </w:p>
    <w:p>
      <w:pPr>
        <w:pStyle w:val="ListeParagraf"/>
        <w:spacing w:after="80"/>
        <w:ind w:left="709" w:right="0"/>
        <w:jc w:val="both"/>
      </w:pPr>
      <w:r>
        <w:rPr>
          <w:rFonts w:ascii="Calibri" w:hAnsi="Calibri" w:cs="Arial"/>
          <w:sz w:val="24"/>
          <w:szCs w:val="24"/>
        </w:rPr>
        <w:t xml:space="preserve">2.3. Rate the colour difference with the grey scale and describe the direction of the difference (redder, bluer, lighter, darker, duller, brighter).</w:t>
      </w:r>
    </w:p>
    <w:p>
      <w:pPr>
        <w:pStyle w:val="ListeParagraf"/>
        <w:spacing w:after="80"/>
        <w:ind w:left="709" w:right="0"/>
        <w:jc w:val="both"/>
      </w:pPr>
      <w:r>
        <w:rPr>
          <w:rFonts w:ascii="Calibri" w:hAnsi="Calibri" w:cs="Arial"/>
          <w:sz w:val="24"/>
          <w:szCs w:val="24"/>
        </w:rPr>
        <w:t xml:space="preserve">2.4. Accept the lot if the result is within the customer tolerance (visual grade or instrumental ΔE as per customer requirement); otherwise reject it and inform the dyehouse.</w:t>
      </w:r>
    </w:p>
    <w:p>
      <w:pPr>
        <w:pStyle w:val="ListeParagraf"/>
        <w:spacing w:after="80"/>
        <w:ind w:left="709" w:right="0"/>
        <w:jc w:val="both"/>
      </w:pPr>
      <w:r>
        <w:rPr>
          <w:rFonts w:ascii="Calibri" w:hAnsi="Calibri" w:cs="Arial"/>
          <w:sz w:val="24"/>
          <w:szCs w:val="24"/>
        </w:rPr>
        <w:t xml:space="preserve">2.5. For each accepted lot, cut a swatch, attach it to the shade card and record the result.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RULES / PROHIBITIONS</w:t>
      </w:r>
    </w:p>
    <w:p>
      <w:pPr>
        <w:pStyle w:val="ListeParagraf"/>
        <w:numPr>
          <w:ilvl w:val="0"/>
          <w:numId w:val="1"/>
        </w:numPr>
        <w:spacing w:after="60"/>
        <w:jc w:val="both"/>
      </w:pPr>
      <w:r>
        <w:rPr>
          <w:rFonts w:ascii="Calibri" w:hAnsi="Calibri" w:cs="Arial"/>
          <w:sz w:val="24"/>
          <w:szCs w:val="24"/>
        </w:rPr>
        <w:t xml:space="preserve">Do not assess shade under normal factory lighting or under daylight from windows.</w:t>
      </w:r>
    </w:p>
    <w:p>
      <w:pPr>
        <w:pStyle w:val="ListeParagraf"/>
        <w:numPr>
          <w:ilvl w:val="0"/>
          <w:numId w:val="1"/>
        </w:numPr>
        <w:spacing w:after="60"/>
        <w:jc w:val="both"/>
      </w:pPr>
      <w:r>
        <w:rPr>
          <w:rFonts w:ascii="Calibri" w:hAnsi="Calibri" w:cs="Arial"/>
          <w:sz w:val="24"/>
          <w:szCs w:val="24"/>
        </w:rPr>
        <w:t xml:space="preserve">Do not let other light enter the cabinet during assessment; keep the light box clean and switched off when not in use.</w:t>
      </w:r>
    </w:p>
    <w:p>
      <w:pPr>
        <w:pStyle w:val="ListeParagraf"/>
        <w:numPr>
          <w:ilvl w:val="0"/>
          <w:numId w:val="1"/>
        </w:numPr>
        <w:spacing w:after="60"/>
        <w:jc w:val="both"/>
      </w:pPr>
      <w:r>
        <w:rPr>
          <w:rFonts w:ascii="Calibri" w:hAnsi="Calibri" w:cs="Arial"/>
          <w:sz w:val="24"/>
          <w:szCs w:val="24"/>
        </w:rPr>
        <w:t xml:space="preserve">Do not use a standard that is faded, soiled or expired; request a new one from the laboratory.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If assessors disagree or the result is borderline, the sample is measured with the spectrophotometer and the final decision is made by the Laboratory Manager, or by the customer when required.</w:t>
      </w:r>
    </w:p>
    <w:p>
      <w:pPr>
        <w:pStyle w:val="ListeParagraf"/>
        <w:spacing w:after="80"/>
        <w:ind w:left="709" w:right="0"/>
        <w:jc w:val="both"/>
      </w:pPr>
      <w:r>
        <w:rPr>
          <w:rFonts w:ascii="Calibri" w:hAnsi="Calibri" w:cs="Arial"/>
          <w:sz w:val="24"/>
          <w:szCs w:val="24"/>
        </w:rPr>
        <w:t xml:space="preserve">4.2. If a lamp fails or its service hours are exceeded, stop using the light box and inform the Laboratory Manager; lamps of the same type are replaced together.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Shade Approval Records, Shade Cards and Light Box Lamp Log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Laboratory Manager monitors shade rejection rates, customer shade complaints and lamp log records every month. This instruction is reviewed every year or when customer shade requirements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فحص لون عينات المختبر (Lab Dip) ودفعات الصباغة والقماش النهائي بصريًا داخل صندوق الإضاءة ومقارنته بالمعيار المعتمد في شركة إيروغلو للتريكو (EMS)، وذلك لاكتشاف فروق اللون وظاهرة الميتاميريزم قبل إرسال القماش إلى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فحوصات اللون في المختبر وقسم الصباغة وقسم التجهيز ومراقبة جودة القماش، وعلى جميع الموظفين المفوضين بتقييم اللون.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يحافظ على صناديق الإضاءة ومعايير الألوان في حالة جيدة، وينظم استبدال المصابيح، ويفوّض المقيّمين.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مقيّم اللون (المختبر / الصباغة / مراقبة الجودة):</w:t>
      </w:r>
      <w:r>
        <w:rPr>
          <w:rFonts w:ascii="Calibri" w:hAnsi="Calibri" w:cs="Arial"/>
          <w:rtl/>
          <w:sz w:val="24"/>
          <w:szCs w:val="24"/>
        </w:rPr>
        <w:t xml:space="preserve"> ينفذ الفحص وفقًا لهذه التعليمات ويسجل النتيجة.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قسم الصباغة:</w:t>
      </w:r>
      <w:r>
        <w:rPr>
          <w:rFonts w:ascii="Calibri" w:hAnsi="Calibri" w:cs="Arial"/>
          <w:rtl/>
          <w:sz w:val="24"/>
          <w:szCs w:val="24"/>
        </w:rPr>
        <w:t xml:space="preserve"> يقرر تصحيح الدفعات المرفوضة أو إعادة معالجتها.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D65:</w:t>
      </w:r>
      <w:r>
        <w:rPr>
          <w:rFonts w:ascii="Calibri" w:hAnsi="Calibri" w:cs="Arial"/>
          <w:rtl/>
          <w:sz w:val="24"/>
          <w:szCs w:val="24"/>
        </w:rPr>
        <w:t xml:space="preserve"> مصدر ضوء نهاري اصطناعي قياسي، يُستخدم عادةً كمصدر الضوء الرئيسي لتقييم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الميتاميريزم:</w:t>
      </w:r>
      <w:r>
        <w:rPr>
          <w:rFonts w:ascii="Calibri" w:hAnsi="Calibri" w:cs="Arial"/>
          <w:rtl/>
          <w:sz w:val="24"/>
          <w:szCs w:val="24"/>
        </w:rPr>
        <w:t xml:space="preserve"> تطابق عينتين تحت مصدر ضوء معين واختلافهما في المظهر تحت مصدر ضوء آخر.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المقياس الرمادي:</w:t>
      </w:r>
      <w:r>
        <w:rPr>
          <w:rFonts w:ascii="Calibri" w:hAnsi="Calibri" w:cs="Arial"/>
          <w:rtl/>
          <w:sz w:val="24"/>
          <w:szCs w:val="24"/>
        </w:rPr>
        <w:t xml:space="preserve"> المقياس الرمادي وفق ISO 105-A02 المستخدم لتقدير فرق اللون (الدرجة 5 = لا يوجد فرق).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تأكد من أن مصابيح صندوق الإضاءة التي يطلبها العميل (مثل D65 وTL84 وA وUV) تعمل، وأنها ضمن ساعات الخدمة المسجلة في سجل المصابيح.</w:t>
      </w:r>
    </w:p>
    <w:p>
      <w:pPr>
        <w:pStyle w:val="ListeParagraf"/>
        <w:bidi/>
        <w:spacing w:after="80"/>
        <w:ind w:left="0" w:right="709"/>
        <w:jc w:val="both"/>
      </w:pPr>
      <w:r>
        <w:rPr>
          <w:rFonts w:ascii="Calibri" w:hAnsi="Calibri" w:cs="Arial"/>
          <w:rtl/>
          <w:sz w:val="24"/>
          <w:szCs w:val="24"/>
        </w:rPr>
        <w:t xml:space="preserve">1.2. استخدم فقط معيارًا معتمدًا (معيار العميل أو عينة مختبر معتمدة) نظيفًا وغير تالف وضمن تاريخ صلاحيته.</w:t>
      </w:r>
    </w:p>
    <w:p>
      <w:pPr>
        <w:pStyle w:val="ListeParagraf"/>
        <w:bidi/>
        <w:spacing w:after="80"/>
        <w:ind w:left="0" w:right="709"/>
        <w:jc w:val="both"/>
      </w:pPr>
      <w:r>
        <w:rPr>
          <w:rFonts w:ascii="Calibri" w:hAnsi="Calibri" w:cs="Arial"/>
          <w:rtl/>
          <w:sz w:val="24"/>
          <w:szCs w:val="24"/>
        </w:rPr>
        <w:t xml:space="preserve">1.3. يجب أن تكون العينة جافة وباردة ومستوية؛ ولا تُقيّم العينات المبللة أو الساخنة.</w:t>
      </w:r>
    </w:p>
    <w:p>
      <w:pPr>
        <w:pStyle w:val="ListeParagraf"/>
        <w:bidi/>
        <w:spacing w:after="80"/>
        <w:ind w:left="0" w:right="709"/>
        <w:jc w:val="both"/>
      </w:pPr>
      <w:r>
        <w:rPr>
          <w:rFonts w:ascii="Calibri" w:hAnsi="Calibri" w:cs="Arial"/>
          <w:rtl/>
          <w:sz w:val="24"/>
          <w:szCs w:val="24"/>
        </w:rPr>
        <w:t xml:space="preserve">1.4. لا يقيّم اللون إلا المقيّمون الذين اجتازوا اختبار رؤية الألوان؛ ولا تُلبس النظارات الملونة أثناء التقييم.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w:t>
      </w:r>
    </w:p>
    <w:p>
      <w:pPr>
        <w:pStyle w:val="ListeParagraf"/>
        <w:bidi/>
        <w:spacing w:after="80"/>
        <w:ind w:left="0" w:right="709"/>
        <w:jc w:val="both"/>
      </w:pPr>
      <w:r>
        <w:rPr>
          <w:rFonts w:ascii="Calibri" w:hAnsi="Calibri" w:cs="Arial"/>
          <w:rtl/>
          <w:sz w:val="24"/>
          <w:szCs w:val="24"/>
        </w:rPr>
        <w:t xml:space="preserve">2.1. ضع المعيار والعينة جنبًا إلى جنب وفي الاتجاه نفسه على القاعدة الرمادية المحايدة لصندوق الإضاءة، وانظر إليهما بزاوية 45° تقريبًا.</w:t>
      </w:r>
    </w:p>
    <w:p>
      <w:pPr>
        <w:pStyle w:val="ListeParagraf"/>
        <w:bidi/>
        <w:spacing w:after="80"/>
        <w:ind w:left="0" w:right="709"/>
        <w:jc w:val="both"/>
      </w:pPr>
      <w:r>
        <w:rPr>
          <w:rFonts w:ascii="Calibri" w:hAnsi="Calibri" w:cs="Arial"/>
          <w:rtl/>
          <w:sz w:val="24"/>
          <w:szCs w:val="24"/>
        </w:rPr>
        <w:t xml:space="preserve">2.2. قيّم أولًا تحت مصدر الضوء الرئيسي الذي يطلبه العميل، ثم تحت مصادر الضوء الثانوية للتحقق من الميتاميريزم.</w:t>
      </w:r>
    </w:p>
    <w:p>
      <w:pPr>
        <w:pStyle w:val="ListeParagraf"/>
        <w:bidi/>
        <w:spacing w:after="80"/>
        <w:ind w:left="0" w:right="709"/>
        <w:jc w:val="both"/>
      </w:pPr>
      <w:r>
        <w:rPr>
          <w:rFonts w:ascii="Calibri" w:hAnsi="Calibri" w:cs="Arial"/>
          <w:rtl/>
          <w:sz w:val="24"/>
          <w:szCs w:val="24"/>
        </w:rPr>
        <w:t xml:space="preserve">2.3. قدّر فرق اللون باستخدام المقياس الرمادي، وصِف اتجاه الفرق (أكثر احمرارًا، أكثر زرقة، أفتح، أغمق، باهت، أكثر لمعانًا).</w:t>
      </w:r>
    </w:p>
    <w:p>
      <w:pPr>
        <w:pStyle w:val="ListeParagraf"/>
        <w:bidi/>
        <w:spacing w:after="80"/>
        <w:ind w:left="0" w:right="709"/>
        <w:jc w:val="both"/>
      </w:pPr>
      <w:r>
        <w:rPr>
          <w:rFonts w:ascii="Calibri" w:hAnsi="Calibri" w:cs="Arial"/>
          <w:rtl/>
          <w:sz w:val="24"/>
          <w:szCs w:val="24"/>
        </w:rPr>
        <w:t xml:space="preserve">2.4. اقبل الدفعة إذا كانت النتيجة ضمن تفاوت العميل (الدرجة البصرية أو قيمة ΔE الآلية حسب متطلبات العميل)؛ وإلا فارفضها وأبلغ قسم الصباغة.</w:t>
      </w:r>
    </w:p>
    <w:p>
      <w:pPr>
        <w:pStyle w:val="ListeParagraf"/>
        <w:bidi/>
        <w:spacing w:after="80"/>
        <w:ind w:left="0" w:right="709"/>
        <w:jc w:val="both"/>
      </w:pPr>
      <w:r>
        <w:rPr>
          <w:rFonts w:ascii="Calibri" w:hAnsi="Calibri" w:cs="Arial"/>
          <w:rtl/>
          <w:sz w:val="24"/>
          <w:szCs w:val="24"/>
        </w:rPr>
        <w:t xml:space="preserve">2.5. لكل دفعة مقبولة، اقطع قصاصة وألصقها على بطاقة الألوان وسجل النتيجة.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القواعد / المحظورات</w:t>
      </w:r>
    </w:p>
    <w:p>
      <w:pPr>
        <w:pStyle w:val="ListeParagraf"/>
        <w:numPr>
          <w:ilvl w:val="0"/>
          <w:numId w:val="1"/>
        </w:numPr>
        <w:bidi/>
        <w:spacing w:after="60"/>
        <w:jc w:val="both"/>
      </w:pPr>
      <w:r>
        <w:rPr>
          <w:rFonts w:ascii="Calibri" w:hAnsi="Calibri" w:cs="Arial"/>
          <w:rtl/>
          <w:sz w:val="24"/>
          <w:szCs w:val="24"/>
        </w:rPr>
        <w:t xml:space="preserve">لا تقيّم اللون تحت إضاءة المصنع العادية أو تحت ضوء النهار القادم من النوافذ.</w:t>
      </w:r>
    </w:p>
    <w:p>
      <w:pPr>
        <w:pStyle w:val="ListeParagraf"/>
        <w:numPr>
          <w:ilvl w:val="0"/>
          <w:numId w:val="1"/>
        </w:numPr>
        <w:bidi/>
        <w:spacing w:after="60"/>
        <w:jc w:val="both"/>
      </w:pPr>
      <w:r>
        <w:rPr>
          <w:rFonts w:ascii="Calibri" w:hAnsi="Calibri" w:cs="Arial"/>
          <w:rtl/>
          <w:sz w:val="24"/>
          <w:szCs w:val="24"/>
        </w:rPr>
        <w:t xml:space="preserve">لا تسمح بدخول ضوء آخر إلى الصندوق أثناء التقييم؛ وأبقِ صندوق الإضاءة نظيفًا ومطفأً عند عدم الاستخدام.</w:t>
      </w:r>
    </w:p>
    <w:p>
      <w:pPr>
        <w:pStyle w:val="ListeParagraf"/>
        <w:numPr>
          <w:ilvl w:val="0"/>
          <w:numId w:val="1"/>
        </w:numPr>
        <w:bidi/>
        <w:spacing w:after="60"/>
        <w:jc w:val="both"/>
      </w:pPr>
      <w:r>
        <w:rPr>
          <w:rFonts w:ascii="Calibri" w:hAnsi="Calibri" w:cs="Arial"/>
          <w:rtl/>
          <w:sz w:val="24"/>
          <w:szCs w:val="24"/>
        </w:rPr>
        <w:t xml:space="preserve">لا تستخدم معيارًا باهتًا أو متسخًا أو منتهي الصلاحية؛ واطلب معيارًا جديدًا من المختبر.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w:t>
      </w:r>
    </w:p>
    <w:p>
      <w:pPr>
        <w:pStyle w:val="ListeParagraf"/>
        <w:bidi/>
        <w:spacing w:after="80"/>
        <w:ind w:left="0" w:right="709"/>
        <w:jc w:val="both"/>
      </w:pPr>
      <w:r>
        <w:rPr>
          <w:rFonts w:ascii="Calibri" w:hAnsi="Calibri" w:cs="Arial"/>
          <w:rtl/>
          <w:sz w:val="24"/>
          <w:szCs w:val="24"/>
        </w:rPr>
        <w:t xml:space="preserve">4.1. إذا اختلف المقيّمون أو كانت النتيجة حدّية، تُقاس العينة بجهاز المطياف الضوئي، ويتخذ مدير المختبر القرار النهائي، أو العميل عند الاقتضاء.</w:t>
      </w:r>
    </w:p>
    <w:p>
      <w:pPr>
        <w:pStyle w:val="ListeParagraf"/>
        <w:bidi/>
        <w:spacing w:after="80"/>
        <w:ind w:left="0" w:right="709"/>
        <w:jc w:val="both"/>
      </w:pPr>
      <w:r>
        <w:rPr>
          <w:rFonts w:ascii="Calibri" w:hAnsi="Calibri" w:cs="Arial"/>
          <w:rtl/>
          <w:sz w:val="24"/>
          <w:szCs w:val="24"/>
        </w:rPr>
        <w:t xml:space="preserve">4.2. إذا تعطل مصباح أو تجاوز ساعات خدمته، توقف عن استخدام صندوق الإضاءة وأبلغ مدير المختبر؛ وتُستبدل المصابيح من النوع نفسه معًا.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EMS.BY.PRO.06.01. إجراء إعداد الوصفات واعتماد عينات المختبر</w:t>
      </w:r>
    </w:p>
    <w:p>
      <w:pPr>
        <w:pStyle w:val="ListeParagraf"/>
        <w:numPr>
          <w:ilvl w:val="0"/>
          <w:numId w:val="1"/>
        </w:numPr>
        <w:bidi/>
        <w:spacing w:after="60"/>
        <w:jc w:val="both"/>
      </w:pPr>
      <w:r>
        <w:rPr>
          <w:rFonts w:ascii="Calibri" w:hAnsi="Calibri" w:cs="Arial"/>
          <w:rtl/>
          <w:sz w:val="24"/>
          <w:szCs w:val="24"/>
        </w:rPr>
        <w:t xml:space="preserve">سجلات اعتماد اللون وبطاقات الألوان وسجل مصابيح صندوق الإضاءة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المختبر شهريًا نسب رفض الألوان وشكاوى العملاء المتعلقة باللون وسجلات المصابيح. وتُراجع هذه التعليمات سنويًا أو عند تغير متطلبات العملاء الخاصة باللون.</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SHADE CONTROL WITH LIGHT BOX INSTRUCTION</w:t>
          </w:r>
        </w:p>
        <w:p>
          <w:pPr>
            <w:pStyle w:val="GvdeMetni2"/>
            <w:bidi/>
            <w:spacing w:line="276" w:lineRule="auto"/>
            <w:jc w:val="center"/>
          </w:pPr>
          <w:r>
            <w:rPr>
              <w:rFonts w:asciiTheme="minorHAnsi" w:hAnsiTheme="minorHAnsi" w:cs="Arial"/>
              <w:b/>
              <w:bCs/>
              <w:color w:val="000000" w:themeColor="text1"/>
              <w:sz w:val="22"/>
              <w:szCs w:val="22"/>
              <w:rtl/>
            </w:rPr>
            <w:t>تعليمات فحص اللون باستخدام صندوق الإضاءة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EMS.BY.TL.06.03.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EMS.BY.TL.06.03. SHADE CONTROL WITH LIGHT BOX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