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greige and finished fabric rolls are received, identified, stored and issued in the fabric warehouse of Eroglu Knitting (EMS), so that fabric is protected from damage and contamination, lots are never mixed and the right fabric reaches the cutting room.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greige fabric from the knitting department, dyed and finished fabric from the dyehouse, purchased and customer-supplied fabric, and to all fabric warehouse staff and forklift drivers.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storage locations are defined and that stock records match physical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Warehouse Staff:</w:t>
      </w:r>
      <w:r>
        <w:rPr>
          <w:rFonts w:ascii="Calibri" w:hAnsi="Calibri" w:cs="Arial"/>
          <w:sz w:val="24"/>
          <w:szCs w:val="24"/>
        </w:rPr>
        <w:t xml:space="preserve"> Receive, label, store and issue rolls according to this instruction and keep the system records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Inspects fabric with the 4-point system and releases or holds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note or internal transfer note against the order: style, fabric type, colour, lot (batch) number, number of rolls and weight.</w:t>
      </w:r>
    </w:p>
    <w:p>
      <w:pPr>
        <w:pStyle w:val="ListeParagraf"/>
        <w:spacing w:after="80"/>
        <w:ind w:left="709" w:right="0"/>
        <w:jc w:val="both"/>
      </w:pPr>
      <w:r>
        <w:rPr>
          <w:rFonts w:ascii="Calibri" w:hAnsi="Calibri" w:cs="Arial"/>
          <w:sz w:val="24"/>
          <w:szCs w:val="24"/>
        </w:rPr>
        <w:t xml:space="preserve">1.2. Check that every roll is wrapped in polybag and carries a roll label (order, lot, roll number, weight, width); report missing or damaged labels.</w:t>
      </w:r>
    </w:p>
    <w:p>
      <w:pPr>
        <w:pStyle w:val="ListeParagraf"/>
        <w:spacing w:after="80"/>
        <w:ind w:left="709" w:right="0"/>
        <w:jc w:val="both"/>
      </w:pPr>
      <w:r>
        <w:rPr>
          <w:rFonts w:ascii="Calibri" w:hAnsi="Calibri" w:cs="Arial"/>
          <w:sz w:val="24"/>
          <w:szCs w:val="24"/>
        </w:rPr>
        <w:t xml:space="preserve">1.3. Weigh the rolls on the calibrated scale and record the received quantity; place the lot in the </w:t>
      </w:r>
      <w:r>
        <w:rPr>
          <w:rFonts w:ascii="Calibri" w:hAnsi="Calibri" w:cs="Arial"/>
          <w:b/>
          <w:bCs/>
          <w:sz w:val="24"/>
          <w:szCs w:val="24"/>
        </w:rPr>
        <w:t xml:space="preserve">Waiting for Inspection</w:t>
      </w:r>
      <w:r>
        <w:rPr>
          <w:rFonts w:ascii="Calibri" w:hAnsi="Calibri" w:cs="Arial"/>
          <w:sz w:val="24"/>
          <w:szCs w:val="24"/>
        </w:rPr>
        <w:t xml:space="preserve">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released rolls on racks or pallets at the system location, at least 10 cm above the floor and away from walls, windows, water pipes and lights.</w:t>
      </w:r>
    </w:p>
    <w:p>
      <w:pPr>
        <w:pStyle w:val="ListeParagraf"/>
        <w:spacing w:after="80"/>
        <w:ind w:left="709" w:right="0"/>
        <w:jc w:val="both"/>
      </w:pPr>
      <w:r>
        <w:rPr>
          <w:rFonts w:ascii="Calibri" w:hAnsi="Calibri" w:cs="Arial"/>
          <w:sz w:val="24"/>
          <w:szCs w:val="24"/>
        </w:rPr>
        <w:t xml:space="preserve">2.2. Keep each lot (dye batch) together and separate; keep GRS/RCS and OCS fabric in their marked areas as required by EMS.GR.TL.14.01. and EMS.OR.TL.21.01.</w:t>
      </w:r>
    </w:p>
    <w:p>
      <w:pPr>
        <w:pStyle w:val="ListeParagraf"/>
        <w:spacing w:after="80"/>
        <w:ind w:left="709" w:right="0"/>
        <w:jc w:val="both"/>
      </w:pPr>
      <w:r>
        <w:rPr>
          <w:rFonts w:ascii="Calibri" w:hAnsi="Calibri" w:cs="Arial"/>
          <w:sz w:val="24"/>
          <w:szCs w:val="24"/>
        </w:rPr>
        <w:t xml:space="preserve">2.3. Stack rolls horizontally in a stable way, not higher than the marked maximum height; do not stand rolls on their ends.</w:t>
      </w:r>
    </w:p>
    <w:p>
      <w:pPr>
        <w:pStyle w:val="ListeParagraf"/>
        <w:spacing w:after="80"/>
        <w:ind w:left="709" w:right="0"/>
        <w:jc w:val="both"/>
      </w:pPr>
      <w:r>
        <w:rPr>
          <w:rFonts w:ascii="Calibri" w:hAnsi="Calibri" w:cs="Arial"/>
          <w:sz w:val="24"/>
          <w:szCs w:val="24"/>
        </w:rPr>
        <w:t xml:space="preserve">2.4. Issue fabric only against an approved cutting order, by lot and on a first-in first-out (FIFO) basis, and record the issue in the system the same day.</w:t>
      </w:r>
    </w:p>
    <w:p>
      <w:pPr>
        <w:pStyle w:val="ListeParagraf"/>
        <w:spacing w:after="80"/>
        <w:ind w:left="709" w:right="0"/>
        <w:jc w:val="both"/>
      </w:pPr>
      <w:r>
        <w:rPr>
          <w:rFonts w:ascii="Calibri" w:hAnsi="Calibri" w:cs="Arial"/>
          <w:sz w:val="24"/>
          <w:szCs w:val="24"/>
        </w:rPr>
        <w:t xml:space="preserve">2.5. Return leftover rolls from cutting with their label, weigh them and put them back in their lot location.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drag rolls on the floor or drop them from height; use trolleys or forklifts as per EMS.İS.TL.18.01. and EMS.İS.TL.18.05.</w:t>
      </w:r>
    </w:p>
    <w:p>
      <w:pPr>
        <w:pStyle w:val="ListeParagraf"/>
        <w:numPr>
          <w:ilvl w:val="0"/>
          <w:numId w:val="1"/>
        </w:numPr>
        <w:spacing w:after="60"/>
        <w:jc w:val="both"/>
      </w:pPr>
      <w:r>
        <w:rPr>
          <w:rFonts w:ascii="Calibri" w:hAnsi="Calibri" w:cs="Arial"/>
          <w:sz w:val="24"/>
          <w:szCs w:val="24"/>
        </w:rPr>
        <w:t xml:space="preserve">Do not climb on racks or roll stacks; do not block aisles, fire exits, extinguishers or sprinklers.</w:t>
      </w:r>
    </w:p>
    <w:p>
      <w:pPr>
        <w:pStyle w:val="ListeParagraf"/>
        <w:numPr>
          <w:ilvl w:val="0"/>
          <w:numId w:val="1"/>
        </w:numPr>
        <w:spacing w:after="60"/>
        <w:jc w:val="both"/>
      </w:pPr>
      <w:r>
        <w:rPr>
          <w:rFonts w:ascii="Calibri" w:hAnsi="Calibri" w:cs="Arial"/>
          <w:sz w:val="24"/>
          <w:szCs w:val="24"/>
        </w:rPr>
        <w:t xml:space="preserve">Do not smoke, eat or drink in the warehouse and do not use knives without a safety guard to open packs.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you find wet, stained, torn or mixed-lot rolls, move them to the </w:t>
      </w:r>
      <w:r>
        <w:rPr>
          <w:rFonts w:ascii="Calibri" w:hAnsi="Calibri" w:cs="Arial"/>
          <w:b/>
          <w:bCs/>
          <w:sz w:val="24"/>
          <w:szCs w:val="24"/>
        </w:rPr>
        <w:t xml:space="preserve">Hold</w:t>
      </w:r>
      <w:r>
        <w:rPr>
          <w:rFonts w:ascii="Calibri" w:hAnsi="Calibri" w:cs="Arial"/>
          <w:sz w:val="24"/>
          <w:szCs w:val="24"/>
        </w:rPr>
        <w:t xml:space="preserve"> area, label them and inform Quality Control and the Warehouse Manager.</w:t>
      </w:r>
    </w:p>
    <w:p>
      <w:pPr>
        <w:pStyle w:val="ListeParagraf"/>
        <w:spacing w:after="80"/>
        <w:ind w:left="709" w:right="0"/>
        <w:jc w:val="both"/>
      </w:pPr>
      <w:r>
        <w:rPr>
          <w:rFonts w:ascii="Calibri" w:hAnsi="Calibri" w:cs="Arial"/>
          <w:sz w:val="24"/>
          <w:szCs w:val="24"/>
        </w:rPr>
        <w:t xml:space="preserve">4.2. In case of water leak, pest signs or fire, protect the stock if it is safe, raise the alarm and follow the emergency evacuation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Delivery and transfer notes, fabric stock records, fabric issue notes, hold labels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checks storage conditions weekly and stock accuracy monthly by sample counts; damaged or lost rolls and stock differences are reported to management. This instruction is reviewed every year.</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رولات القماش الخام والقماش التام وتمييزها وتخزينها وصرفها في مستودع الأقمشة لدى شركة إيروغلو للتريكو (EMS)، بحيث يُحمى القماش من التلف والتلوث، ولا تُخلط اللوطات أبدًا، ويصل القماش الصحيح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الأقمشة الخام الواردة من قسم التريكو، والأقمشة المصبوغة والمجهزة الواردة من المصبغة، والأقمشة المشتراة والمقدمة من العملاء، وعلى جميع موظفي مستودع الأقمشة وسائقي الرافعات الشوكية.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تطبيق هذه التعليمات وتحديد مواقع التخزين ومطابقة سجلات المخزون للمخزون الفعلي.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الأقمشة:</w:t>
      </w:r>
      <w:r>
        <w:rPr>
          <w:rFonts w:ascii="Calibri" w:hAnsi="Calibri" w:cs="Arial"/>
          <w:rtl/>
          <w:sz w:val="24"/>
          <w:szCs w:val="24"/>
        </w:rPr>
        <w:t xml:space="preserve"> يستلمون الرولات ويضعون عليها البطاقات ويخزنونها ويصرفونها وفق هذه التعليمات، ويحدّثون سجلات النظام أولًا بأول.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تفحص القماش وفق نظام النقاط الأربع وتُفرج عن اللوطات أو توقفها.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إشعار التسليم أو إشعار التحويل الداخلي مع الأمر: الموديل ونوع القماش واللون ورقم اللوط (الدفعة) وعدد الرولات والوزن.</w:t>
      </w:r>
    </w:p>
    <w:p>
      <w:pPr>
        <w:pStyle w:val="ListeParagraf"/>
        <w:bidi/>
        <w:spacing w:after="80"/>
        <w:ind w:left="0" w:right="709"/>
        <w:jc w:val="both"/>
      </w:pPr>
      <w:r>
        <w:rPr>
          <w:rFonts w:ascii="Calibri" w:hAnsi="Calibri" w:cs="Arial"/>
          <w:rtl/>
          <w:sz w:val="24"/>
          <w:szCs w:val="24"/>
        </w:rPr>
        <w:t xml:space="preserve">1.2. تأكد من أن كل رول مغلف بكيس بلاستيكي ويحمل بطاقة رول (الأمر واللوط ورقم الرول والوزن والعرض)؛ وأبلغ عن البطاقات المفقودة أو التالفة.</w:t>
      </w:r>
    </w:p>
    <w:p>
      <w:pPr>
        <w:pStyle w:val="ListeParagraf"/>
        <w:bidi/>
        <w:spacing w:after="80"/>
        <w:ind w:left="0" w:right="709"/>
        <w:jc w:val="both"/>
      </w:pPr>
      <w:r>
        <w:rPr>
          <w:rFonts w:ascii="Calibri" w:hAnsi="Calibri" w:cs="Arial"/>
          <w:rtl/>
          <w:sz w:val="24"/>
          <w:szCs w:val="24"/>
        </w:rPr>
        <w:t xml:space="preserve">1.3. زِن الرولات على الميزان المعاير وسجّل الكمية المستلمة؛ وضع اللوط في منطقة </w:t>
      </w:r>
      <w:r>
        <w:rPr>
          <w:rFonts w:ascii="Calibri" w:hAnsi="Calibri" w:cs="Arial"/>
          <w:b/>
          <w:bCs/>
          <w:rtl/>
          <w:sz w:val="24"/>
          <w:szCs w:val="24"/>
        </w:rPr>
        <w:t xml:space="preserve">بانتظار الفحص</w:t>
      </w:r>
      <w:r>
        <w:rPr>
          <w:rFonts w:ascii="Calibri" w:hAnsi="Calibri" w:cs="Arial"/>
          <w:rtl/>
          <w:sz w:val="24"/>
          <w:szCs w:val="24"/>
        </w:rPr>
        <w:t xml:space="preserve">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الرولات المُفرج عنها على الرفوف أو المنصات في الموقع المحدد في النظام، على ارتفاع 10 سم على الأقل عن الأرض وبعيدًا عن الجدران والنوافذ وأنابيب المياه والإضاءة.</w:t>
      </w:r>
    </w:p>
    <w:p>
      <w:pPr>
        <w:pStyle w:val="ListeParagraf"/>
        <w:bidi/>
        <w:spacing w:after="80"/>
        <w:ind w:left="0" w:right="709"/>
        <w:jc w:val="both"/>
      </w:pPr>
      <w:r>
        <w:rPr>
          <w:rFonts w:ascii="Calibri" w:hAnsi="Calibri" w:cs="Arial"/>
          <w:rtl/>
          <w:sz w:val="24"/>
          <w:szCs w:val="24"/>
        </w:rPr>
        <w:t xml:space="preserve">2.2. احفظ كل لوط (دفعة صباغة) مجمّعًا ومنفصلًا؛ واحفظ أقمشة GRS/RCS وOCS في مناطقها المعلَّمة وفق متطلبات EMS.GR.TL.14.01. وEMS.OR.TL.21.01.</w:t>
      </w:r>
    </w:p>
    <w:p>
      <w:pPr>
        <w:pStyle w:val="ListeParagraf"/>
        <w:bidi/>
        <w:spacing w:after="80"/>
        <w:ind w:left="0" w:right="709"/>
        <w:jc w:val="both"/>
      </w:pPr>
      <w:r>
        <w:rPr>
          <w:rFonts w:ascii="Calibri" w:hAnsi="Calibri" w:cs="Arial"/>
          <w:rtl/>
          <w:sz w:val="24"/>
          <w:szCs w:val="24"/>
        </w:rPr>
        <w:t xml:space="preserve">2.3. رصّ الرولات أفقيًا بشكل ثابت ولا تتجاوز أقصى ارتفاع معلَّم؛ ولا توقف الرولات على أطرافها.</w:t>
      </w:r>
    </w:p>
    <w:p>
      <w:pPr>
        <w:pStyle w:val="ListeParagraf"/>
        <w:bidi/>
        <w:spacing w:after="80"/>
        <w:ind w:left="0" w:right="709"/>
        <w:jc w:val="both"/>
      </w:pPr>
      <w:r>
        <w:rPr>
          <w:rFonts w:ascii="Calibri" w:hAnsi="Calibri" w:cs="Arial"/>
          <w:rtl/>
          <w:sz w:val="24"/>
          <w:szCs w:val="24"/>
        </w:rPr>
        <w:t xml:space="preserve">2.4. اصرف القماش فقط مقابل أمر قص معتمد، حسب اللوط وعلى أساس الوارد أولًا يُصرف أولًا (FIFO)، وسجّل الصرف في النظام في اليوم نفسه.</w:t>
      </w:r>
    </w:p>
    <w:p>
      <w:pPr>
        <w:pStyle w:val="ListeParagraf"/>
        <w:bidi/>
        <w:spacing w:after="80"/>
        <w:ind w:left="0" w:right="709"/>
        <w:jc w:val="both"/>
      </w:pPr>
      <w:r>
        <w:rPr>
          <w:rFonts w:ascii="Calibri" w:hAnsi="Calibri" w:cs="Arial"/>
          <w:rtl/>
          <w:sz w:val="24"/>
          <w:szCs w:val="24"/>
        </w:rPr>
        <w:t xml:space="preserve">2.5. أعِد الرولات المتبقية من القص ببطاقاتها، وزِنها، وأرجعها إلى موقع لوطها.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تجرّ الرولات على الأرض ولا تُسقطها من ارتفاع؛ واستخدم العربات أو الرافعات الشوكية وفق EMS.İS.TL.18.01. وEMS.İS.TL.18.05.</w:t>
      </w:r>
    </w:p>
    <w:p>
      <w:pPr>
        <w:pStyle w:val="ListeParagraf"/>
        <w:numPr>
          <w:ilvl w:val="0"/>
          <w:numId w:val="1"/>
        </w:numPr>
        <w:bidi/>
        <w:spacing w:after="60"/>
        <w:jc w:val="both"/>
      </w:pPr>
      <w:r>
        <w:rPr>
          <w:rFonts w:ascii="Calibri" w:hAnsi="Calibri" w:cs="Arial"/>
          <w:rtl/>
          <w:sz w:val="24"/>
          <w:szCs w:val="24"/>
        </w:rPr>
        <w:t xml:space="preserve">لا تتسلق الرفوف أو أكوام الرولات؛ ولا تُغلق الممرات أو مخارج الطوارئ أو طفايات الحريق أو رشاشات المياه.</w:t>
      </w:r>
    </w:p>
    <w:p>
      <w:pPr>
        <w:pStyle w:val="ListeParagraf"/>
        <w:numPr>
          <w:ilvl w:val="0"/>
          <w:numId w:val="1"/>
        </w:numPr>
        <w:bidi/>
        <w:spacing w:after="60"/>
        <w:jc w:val="both"/>
      </w:pPr>
      <w:r>
        <w:rPr>
          <w:rFonts w:ascii="Calibri" w:hAnsi="Calibri" w:cs="Arial"/>
          <w:rtl/>
          <w:sz w:val="24"/>
          <w:szCs w:val="24"/>
        </w:rPr>
        <w:t xml:space="preserve">لا تدخن ولا تأكل ولا تشرب داخل المستودع، ولا تستخدم سكاكين بدون واقٍ لفتح العبوات.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طارئ</w:t>
      </w:r>
    </w:p>
    <w:p>
      <w:pPr>
        <w:pStyle w:val="ListeParagraf"/>
        <w:bidi/>
        <w:spacing w:after="80"/>
        <w:ind w:left="0" w:right="709"/>
        <w:jc w:val="both"/>
      </w:pPr>
      <w:r>
        <w:rPr>
          <w:rFonts w:ascii="Calibri" w:hAnsi="Calibri" w:cs="Arial"/>
          <w:rtl/>
          <w:sz w:val="24"/>
          <w:szCs w:val="24"/>
        </w:rPr>
        <w:t xml:space="preserve">4.1. إذا وجدت رولات مبللة أو متسخة أو ممزقة أو مختلطة اللوطات، فانقلها إلى منطقة </w:t>
      </w:r>
      <w:r>
        <w:rPr>
          <w:rFonts w:ascii="Calibri" w:hAnsi="Calibri" w:cs="Arial"/>
          <w:b/>
          <w:bCs/>
          <w:rtl/>
          <w:sz w:val="24"/>
          <w:szCs w:val="24"/>
        </w:rPr>
        <w:t xml:space="preserve">الإيقاف</w:t>
      </w:r>
      <w:r>
        <w:rPr>
          <w:rFonts w:ascii="Calibri" w:hAnsi="Calibri" w:cs="Arial"/>
          <w:rtl/>
          <w:sz w:val="24"/>
          <w:szCs w:val="24"/>
        </w:rPr>
        <w:t xml:space="preserve"> وضع عليها بطاقة وأبلغ مراقبة الجودة ومدير المستودع.</w:t>
      </w:r>
    </w:p>
    <w:p>
      <w:pPr>
        <w:pStyle w:val="ListeParagraf"/>
        <w:bidi/>
        <w:spacing w:after="80"/>
        <w:ind w:left="0" w:right="709"/>
        <w:jc w:val="both"/>
      </w:pPr>
      <w:r>
        <w:rPr>
          <w:rFonts w:ascii="Calibri" w:hAnsi="Calibri" w:cs="Arial"/>
          <w:rtl/>
          <w:sz w:val="24"/>
          <w:szCs w:val="24"/>
        </w:rPr>
        <w:t xml:space="preserve">4.2. في حالة تسرب المياه أو ظهور آفات أو نشوب حريق، احمِ المخزون إن كان ذلك آمنًا، وأطلق الإنذار واتبع تعليمات الإخلاء في 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النقاط الأربع</w:t>
      </w:r>
    </w:p>
    <w:p>
      <w:pPr>
        <w:pStyle w:val="ListeParagraf"/>
        <w:numPr>
          <w:ilvl w:val="0"/>
          <w:numId w:val="1"/>
        </w:numPr>
        <w:bidi/>
        <w:spacing w:after="60"/>
        <w:jc w:val="both"/>
      </w:pPr>
      <w:r>
        <w:rPr>
          <w:rFonts w:ascii="Calibri" w:hAnsi="Calibri" w:cs="Arial"/>
          <w:rtl/>
          <w:sz w:val="24"/>
          <w:szCs w:val="24"/>
        </w:rPr>
        <w:t xml:space="preserve">إشعارات التسليم والتحويل، وسجلات مخزون الأقمشة، وإشعارات صرف الأقمشة، وبطاقات الإيقاف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يفحص مدير المستودع ظروف التخزين أسبوعيًا ودقة المخزون شهريًا بالعدّ بالعينة، ويُبلغ الإدارة عن الرولات التالفة أو المفقودة وفروقات المخزون. وتُراجع هذه التعليمات سنويًا.</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FABRIC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الأقمشة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EMS.DP.TL.08.01. FABRIC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