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health, safety and environmental risks of chemicals are assessed at Eroglu Knitting (EMS) and how Safety Data Sheets (SDS) are obtained, checked, kept up to date and made available to workers, so that every chemical is handled with the right controls.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chemicals in the Chemical Inventory and to every area where chemicals are stored, prepared, used or disposed of: chemical store, colour kitchen, dyehouse, printing, laboratory, maintenance, boiler room and wastewater treatment plant.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Obtains and checks SDSs, keeps the SDS register and prepares the chemical risk assessments together with the OHS Specialist.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Leads the risk assessment, defines engineering controls and PPE, and arranges exposure measurements and health surveillance where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Make sure the SDSs and risk controls are available and applied in their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Workers:</w:t>
      </w:r>
      <w:r>
        <w:rPr>
          <w:rFonts w:ascii="Calibri" w:hAnsi="Calibri" w:cs="Arial"/>
          <w:sz w:val="24"/>
          <w:szCs w:val="24"/>
        </w:rPr>
        <w:t xml:space="preserve"> Read the SDS summary for the chemicals they use, wear the required PPE and report leaks, spills or health complaints.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Data Sheet (SDS):</w:t>
      </w:r>
      <w:r>
        <w:rPr>
          <w:rFonts w:ascii="Calibri" w:hAnsi="Calibri" w:cs="Arial"/>
          <w:sz w:val="24"/>
          <w:szCs w:val="24"/>
        </w:rPr>
        <w:t xml:space="preserve"> The 16-section document from the supplier that gives the hazards, safe handling, storage, PPE, first aid and disposal of a chemical, in line with the GHS.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GHS:</w:t>
      </w:r>
      <w:r>
        <w:rPr>
          <w:rFonts w:ascii="Calibri" w:hAnsi="Calibri" w:cs="Arial"/>
          <w:sz w:val="24"/>
          <w:szCs w:val="24"/>
        </w:rPr>
        <w:t xml:space="preserve"> The Globally Harmonized System of classification and labelling of chemicals.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SDS Summary Card:</w:t>
      </w:r>
      <w:r>
        <w:rPr>
          <w:rFonts w:ascii="Calibri" w:hAnsi="Calibri" w:cs="Arial"/>
          <w:sz w:val="24"/>
          <w:szCs w:val="24"/>
        </w:rPr>
        <w:t xml:space="preserve"> A one-page Arabic summary of the SDS posted at the point of use (hazards, PPE, first aid, spill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Risk Assessment:</w:t>
      </w:r>
      <w:r>
        <w:rPr>
          <w:rFonts w:ascii="Calibri" w:hAnsi="Calibri" w:cs="Arial"/>
          <w:sz w:val="24"/>
          <w:szCs w:val="24"/>
        </w:rPr>
        <w:t xml:space="preserve"> The evaluation of the likelihood and severity of harm from a chemical in a given task, and the controls needed to reduce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SDS COLLECTION AND CHECK</w:t>
      </w:r>
    </w:p>
    <w:p>
      <w:pPr>
        <w:pStyle w:val="ListeParagraf"/>
        <w:spacing w:after="80"/>
        <w:ind w:left="709" w:right="0"/>
        <w:jc w:val="both"/>
      </w:pPr>
      <w:r>
        <w:rPr>
          <w:rFonts w:ascii="Calibri" w:hAnsi="Calibri" w:cs="Arial"/>
          <w:sz w:val="24"/>
          <w:szCs w:val="24"/>
        </w:rPr>
        <w:t xml:space="preserve">1.1. No chemical is received without a current SDS in English and Arabic; the SDS must follow the 16-section GHS format.</w:t>
      </w:r>
    </w:p>
    <w:p>
      <w:pPr>
        <w:pStyle w:val="ListeParagraf"/>
        <w:spacing w:after="80"/>
        <w:ind w:left="709" w:right="0"/>
        <w:jc w:val="both"/>
      </w:pPr>
      <w:r>
        <w:rPr>
          <w:rFonts w:ascii="Calibri" w:hAnsi="Calibri" w:cs="Arial"/>
          <w:sz w:val="24"/>
          <w:szCs w:val="24"/>
        </w:rPr>
        <w:t xml:space="preserve">1.2. The Chemical Manager checks that the SDS matches the product name and supplier, that hazard statements and composition are complete and that the revision date is not older than three years.</w:t>
      </w:r>
    </w:p>
    <w:p>
      <w:pPr>
        <w:pStyle w:val="ListeParagraf"/>
        <w:spacing w:after="80"/>
        <w:ind w:left="709" w:right="0"/>
        <w:jc w:val="both"/>
      </w:pPr>
      <w:r>
        <w:rPr>
          <w:rFonts w:ascii="Calibri" w:hAnsi="Calibri" w:cs="Arial"/>
          <w:sz w:val="24"/>
          <w:szCs w:val="24"/>
        </w:rPr>
        <w:t xml:space="preserve">1.3. Incomplete or outdated SDSs are returned to the supplier through Purchasing for correction.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SDS REGISTER AND AVAILABILITY</w:t>
      </w:r>
    </w:p>
    <w:p>
      <w:pPr>
        <w:pStyle w:val="ListeParagraf"/>
        <w:spacing w:after="80"/>
        <w:ind w:left="709" w:right="0"/>
        <w:jc w:val="both"/>
      </w:pPr>
      <w:r>
        <w:rPr>
          <w:rFonts w:ascii="Calibri" w:hAnsi="Calibri" w:cs="Arial"/>
          <w:sz w:val="24"/>
          <w:szCs w:val="24"/>
        </w:rPr>
        <w:t xml:space="preserve">2.1. Approved SDSs are kept in the SDS register (electronic and printed) under the chemical code.</w:t>
      </w:r>
    </w:p>
    <w:p>
      <w:pPr>
        <w:pStyle w:val="ListeParagraf"/>
        <w:spacing w:after="80"/>
        <w:ind w:left="709" w:right="0"/>
        <w:jc w:val="both"/>
      </w:pPr>
      <w:r>
        <w:rPr>
          <w:rFonts w:ascii="Calibri" w:hAnsi="Calibri" w:cs="Arial"/>
          <w:sz w:val="24"/>
          <w:szCs w:val="24"/>
        </w:rPr>
        <w:t xml:space="preserve">2.2. Printed SDS files are kept at the chemical store, colour kitchen, dyehouse, printing, laboratory, wastewater plant and first aid room.</w:t>
      </w:r>
    </w:p>
    <w:p>
      <w:pPr>
        <w:pStyle w:val="ListeParagraf"/>
        <w:spacing w:after="80"/>
        <w:ind w:left="709" w:right="0"/>
        <w:jc w:val="both"/>
      </w:pPr>
      <w:r>
        <w:rPr>
          <w:rFonts w:ascii="Calibri" w:hAnsi="Calibri" w:cs="Arial"/>
          <w:sz w:val="24"/>
          <w:szCs w:val="24"/>
        </w:rPr>
        <w:t xml:space="preserve">2.3. An SDS Summary Card in Arabic is posted at every point of use.</w:t>
      </w:r>
    </w:p>
    <w:p>
      <w:pPr>
        <w:pStyle w:val="ListeParagraf"/>
        <w:spacing w:after="80"/>
        <w:ind w:left="709" w:right="0"/>
        <w:jc w:val="both"/>
      </w:pPr>
      <w:r>
        <w:rPr>
          <w:rFonts w:ascii="Calibri" w:hAnsi="Calibri" w:cs="Arial"/>
          <w:sz w:val="24"/>
          <w:szCs w:val="24"/>
        </w:rPr>
        <w:t xml:space="preserve">2.4. Superseded SDSs are removed from use points and archived; the register is checked every year and each SDS revision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RISK ASSESSMENT</w:t>
      </w:r>
    </w:p>
    <w:p>
      <w:pPr>
        <w:pStyle w:val="ListeParagraf"/>
        <w:spacing w:after="80"/>
        <w:ind w:left="709" w:right="0"/>
        <w:jc w:val="both"/>
      </w:pPr>
      <w:r>
        <w:rPr>
          <w:rFonts w:ascii="Calibri" w:hAnsi="Calibri" w:cs="Arial"/>
          <w:sz w:val="24"/>
          <w:szCs w:val="24"/>
        </w:rPr>
        <w:t xml:space="preserve">3.1. A chemical risk assessment is made for each chemical or group of similar chemicals and each task, before first use and when the process, quantity or SDS changes.</w:t>
      </w:r>
    </w:p>
    <w:p>
      <w:pPr>
        <w:pStyle w:val="ListeParagraf"/>
        <w:spacing w:after="80"/>
        <w:ind w:left="709" w:right="0"/>
        <w:jc w:val="both"/>
      </w:pPr>
      <w:r>
        <w:rPr>
          <w:rFonts w:ascii="Calibri" w:hAnsi="Calibri" w:cs="Arial"/>
          <w:sz w:val="24"/>
          <w:szCs w:val="24"/>
        </w:rPr>
        <w:t xml:space="preserve">3.2. The assessment considers:</w:t>
      </w:r>
    </w:p>
    <w:p>
      <w:pPr>
        <w:pStyle w:val="ListeParagraf"/>
        <w:numPr>
          <w:ilvl w:val="0"/>
          <w:numId w:val="1"/>
        </w:numPr>
        <w:spacing w:after="60"/>
        <w:jc w:val="both"/>
      </w:pPr>
      <w:r>
        <w:rPr>
          <w:rFonts w:ascii="Calibri" w:hAnsi="Calibri" w:cs="Arial"/>
          <w:sz w:val="24"/>
          <w:szCs w:val="24"/>
        </w:rPr>
        <w:t xml:space="preserve">The GHS hazard class and hazard statements (H-statements),</w:t>
      </w:r>
    </w:p>
    <w:p>
      <w:pPr>
        <w:pStyle w:val="ListeParagraf"/>
        <w:numPr>
          <w:ilvl w:val="0"/>
          <w:numId w:val="1"/>
        </w:numPr>
        <w:spacing w:after="60"/>
        <w:jc w:val="both"/>
      </w:pPr>
      <w:r>
        <w:rPr>
          <w:rFonts w:ascii="Calibri" w:hAnsi="Calibri" w:cs="Arial"/>
          <w:sz w:val="24"/>
          <w:szCs w:val="24"/>
        </w:rPr>
        <w:t xml:space="preserve">The route of exposure (inhalation, skin, eyes, ingestion), the quantity used and the duration and frequency of the task,</w:t>
      </w:r>
    </w:p>
    <w:p>
      <w:pPr>
        <w:pStyle w:val="ListeParagraf"/>
        <w:numPr>
          <w:ilvl w:val="0"/>
          <w:numId w:val="1"/>
        </w:numPr>
        <w:spacing w:after="60"/>
        <w:jc w:val="both"/>
      </w:pPr>
      <w:r>
        <w:rPr>
          <w:rFonts w:ascii="Calibri" w:hAnsi="Calibri" w:cs="Arial"/>
          <w:sz w:val="24"/>
          <w:szCs w:val="24"/>
        </w:rPr>
        <w:t xml:space="preserve">Storage compatibility, fire and explosion risk and environmental risk to soil and wastewater,</w:t>
      </w:r>
    </w:p>
    <w:p>
      <w:pPr>
        <w:pStyle w:val="ListeParagraf"/>
        <w:numPr>
          <w:ilvl w:val="0"/>
          <w:numId w:val="1"/>
        </w:numPr>
        <w:spacing w:after="60"/>
        <w:jc w:val="both"/>
      </w:pPr>
      <w:r>
        <w:rPr>
          <w:rFonts w:ascii="Calibri" w:hAnsi="Calibri" w:cs="Arial"/>
          <w:sz w:val="24"/>
          <w:szCs w:val="24"/>
        </w:rPr>
        <w:t xml:space="preserve">Vulnerable workers, especially pregnant and breastfeeding women.</w:t>
      </w:r>
    </w:p>
    <w:p>
      <w:pPr>
        <w:pStyle w:val="ListeParagraf"/>
        <w:spacing w:after="80"/>
        <w:ind w:left="709" w:right="0"/>
        <w:jc w:val="both"/>
      </w:pPr>
      <w:r>
        <w:rPr>
          <w:rFonts w:ascii="Calibri" w:hAnsi="Calibri" w:cs="Arial"/>
          <w:sz w:val="24"/>
          <w:szCs w:val="24"/>
        </w:rPr>
        <w:t xml:space="preserve">3.3. Controls are selected in the order: elimination or substitution, engineering controls (local exhaust ventilation, closed dosing, bunds), administrative controls (training, procedures, signs) and PPE.</w:t>
      </w:r>
    </w:p>
    <w:p>
      <w:pPr>
        <w:pStyle w:val="ListeParagraf"/>
        <w:spacing w:after="80"/>
        <w:ind w:left="709" w:right="0"/>
        <w:jc w:val="both"/>
      </w:pPr>
      <w:r>
        <w:rPr>
          <w:rFonts w:ascii="Calibri" w:hAnsi="Calibri" w:cs="Arial"/>
          <w:sz w:val="24"/>
          <w:szCs w:val="24"/>
        </w:rPr>
        <w:t xml:space="preserve">3.4. High risks are not accepted; the task is stopped until controls bring the risk to an acceptable level.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IMPLEMENTATION OF CONTROLS</w:t>
      </w:r>
    </w:p>
    <w:p>
      <w:pPr>
        <w:pStyle w:val="ListeParagraf"/>
        <w:spacing w:after="80"/>
        <w:ind w:left="709" w:right="0"/>
        <w:jc w:val="both"/>
      </w:pPr>
      <w:r>
        <w:rPr>
          <w:rFonts w:ascii="Calibri" w:hAnsi="Calibri" w:cs="Arial"/>
          <w:sz w:val="24"/>
          <w:szCs w:val="24"/>
        </w:rPr>
        <w:t xml:space="preserve">4.1. Required PPE is issued according to EMS.İS.PRO.18.03; eye wash stations and safety showers are provided where corrosive chemicals are handled.</w:t>
      </w:r>
    </w:p>
    <w:p>
      <w:pPr>
        <w:pStyle w:val="ListeParagraf"/>
        <w:spacing w:after="80"/>
        <w:ind w:left="709" w:right="0"/>
        <w:jc w:val="both"/>
      </w:pPr>
      <w:r>
        <w:rPr>
          <w:rFonts w:ascii="Calibri" w:hAnsi="Calibri" w:cs="Arial"/>
          <w:sz w:val="24"/>
          <w:szCs w:val="24"/>
        </w:rPr>
        <w:t xml:space="preserve">4.2. Workers are trained on the SDS summary, labels, PPE and spill response before handling chemicals and at least once a year.</w:t>
      </w:r>
    </w:p>
    <w:p>
      <w:pPr>
        <w:pStyle w:val="ListeParagraf"/>
        <w:spacing w:after="80"/>
        <w:ind w:left="709" w:right="0"/>
        <w:jc w:val="both"/>
      </w:pPr>
      <w:r>
        <w:rPr>
          <w:rFonts w:ascii="Calibri" w:hAnsi="Calibri" w:cs="Arial"/>
          <w:sz w:val="24"/>
          <w:szCs w:val="24"/>
        </w:rPr>
        <w:t xml:space="preserve">4.3. Where needed, workplace air measurements and health surveillance of exposed workers are carried out.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following indicators are monitored:</w:t>
      </w:r>
    </w:p>
    <w:p>
      <w:pPr>
        <w:pStyle w:val="ListeParagraf"/>
        <w:numPr>
          <w:ilvl w:val="0"/>
          <w:numId w:val="1"/>
        </w:numPr>
        <w:spacing w:after="60"/>
        <w:jc w:val="both"/>
      </w:pPr>
      <w:r>
        <w:rPr>
          <w:rFonts w:ascii="Calibri" w:hAnsi="Calibri" w:cs="Arial"/>
          <w:sz w:val="24"/>
          <w:szCs w:val="24"/>
        </w:rPr>
        <w:t xml:space="preserve">Percentage of chemicals with a current SDS available at the point of use (target: 100%),</w:t>
      </w:r>
    </w:p>
    <w:p>
      <w:pPr>
        <w:pStyle w:val="ListeParagraf"/>
        <w:numPr>
          <w:ilvl w:val="0"/>
          <w:numId w:val="1"/>
        </w:numPr>
        <w:spacing w:after="60"/>
        <w:jc w:val="both"/>
      </w:pPr>
      <w:r>
        <w:rPr>
          <w:rFonts w:ascii="Calibri" w:hAnsi="Calibri" w:cs="Arial"/>
          <w:sz w:val="24"/>
          <w:szCs w:val="24"/>
        </w:rPr>
        <w:t xml:space="preserve">Percentage of chemicals with a valid risk assessment (target: 100%),</w:t>
      </w:r>
    </w:p>
    <w:p>
      <w:pPr>
        <w:pStyle w:val="ListeParagraf"/>
        <w:numPr>
          <w:ilvl w:val="0"/>
          <w:numId w:val="1"/>
        </w:numPr>
        <w:spacing w:after="60"/>
        <w:jc w:val="both"/>
      </w:pPr>
      <w:r>
        <w:rPr>
          <w:rFonts w:ascii="Calibri" w:hAnsi="Calibri" w:cs="Arial"/>
          <w:sz w:val="24"/>
          <w:szCs w:val="24"/>
        </w:rPr>
        <w:t xml:space="preserve">Number of chemical-related incidents and near misses.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SDS Register and SDS Summary Cards</w:t>
      </w:r>
    </w:p>
    <w:p>
      <w:pPr>
        <w:pStyle w:val="ListeParagraf"/>
        <w:numPr>
          <w:ilvl w:val="0"/>
          <w:numId w:val="1"/>
        </w:numPr>
        <w:spacing w:after="60"/>
        <w:jc w:val="both"/>
      </w:pPr>
      <w:r>
        <w:rPr>
          <w:rFonts w:ascii="Calibri" w:hAnsi="Calibri" w:cs="Arial"/>
          <w:sz w:val="24"/>
          <w:szCs w:val="24"/>
        </w:rPr>
        <w:t xml:space="preserve">Chemical Risk Assessment Forms</w:t>
      </w:r>
    </w:p>
    <w:p>
      <w:pPr>
        <w:pStyle w:val="ListeParagraf"/>
        <w:numPr>
          <w:ilvl w:val="0"/>
          <w:numId w:val="1"/>
        </w:numPr>
        <w:spacing w:after="60"/>
        <w:jc w:val="both"/>
      </w:pPr>
      <w:r>
        <w:rPr>
          <w:rFonts w:ascii="Calibri" w:hAnsi="Calibri" w:cs="Arial"/>
          <w:sz w:val="24"/>
          <w:szCs w:val="24"/>
        </w:rPr>
        <w:t xml:space="preserve">Chemical Training Records</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EMS.QA.PRO.02.02. Chemical Hazard Communication Procedure</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EMS.İS.PRO.18.03. Personal Protective Equipment Management Procedure</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Chemical Manager and the OHS Specialist, or earlier after a chemical incident, a new process or a change in legislation. Worker feedback through the OHS Committee is taken into account.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تقييم مخاطر المواد الكيميائية على الصحة والسلامة والبيئة في شركة إيروغلو للتريكو (EMS)، وكيفية الحصول على صحائف بيانات السلامة (SDS) والتحقق منها وتحديثها وإتاحتها للعاملين، بحيث يتم التعامل مع كل مادة كيميائية بالضوابط المناسبة.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يُطبق هذا الإجراء على جميع المواد الواردة في جرد المواد الكيميائية وعلى كل منطقة تُخزن أو تُحضّر أو تُستخدم أو يُتخلص فيها من المواد الكيميائية: مخزن الكيماويات، ومطبخ الألوان، وقسم الصباغة، والطباعة، والمختبر، والصيانة، وغرفة الغلايات، ومحطة معالجة مياه الصرف.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يحصل على صحائف بيانات السلامة ويتحقق منها ويحتفظ بسجلها ويعد تقييمات المخاطر الكيميائية بالتعاون مع أخصائي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يقود تقييم المخاطر ويحدد الضوابط الهندسية ومعدات الوقاية الشخصية وينظم قياسات التعرض والرقابة الصحية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توفر صحائف بيانات السلامة وتطبيق ضوابط المخاطر في مناطقهم.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العاملون:</w:t>
      </w:r>
      <w:r>
        <w:rPr>
          <w:rFonts w:ascii="Calibri" w:hAnsi="Calibri" w:cs="Arial"/>
          <w:rtl/>
          <w:sz w:val="24"/>
          <w:szCs w:val="24"/>
        </w:rPr>
        <w:t xml:space="preserve"> يقرؤون ملخص صحيفة بيانات السلامة للمواد التي يستخدمونها ويرتدون معدات الوقاية المطلوبة ويبلغون عن التسربات والانسكابات والشكاوى الصحية.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صحيفة بيانات السلامة (SDS):</w:t>
      </w:r>
      <w:r>
        <w:rPr>
          <w:rFonts w:ascii="Calibri" w:hAnsi="Calibri" w:cs="Arial"/>
          <w:rtl/>
          <w:sz w:val="24"/>
          <w:szCs w:val="24"/>
        </w:rPr>
        <w:t xml:space="preserve"> وثيقة من 16 قسمًا يقدمها المورد وتبين مخاطر المادة الكيميائية وطرق التعامل الآمن والتخزين ومعدات الوقاية والإسعافات الأولية والتخلص، وفقًا للنظام GHS.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النظام GHS:</w:t>
      </w:r>
      <w:r>
        <w:rPr>
          <w:rFonts w:ascii="Calibri" w:hAnsi="Calibri" w:cs="Arial"/>
          <w:rtl/>
          <w:sz w:val="24"/>
          <w:szCs w:val="24"/>
        </w:rPr>
        <w:t xml:space="preserve"> النظام المنسق عالميًا لتصنيف المواد الكيميائية ووسمها.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ملخص صحيفة بيانات السلامة:</w:t>
      </w:r>
      <w:r>
        <w:rPr>
          <w:rFonts w:ascii="Calibri" w:hAnsi="Calibri" w:cs="Arial"/>
          <w:rtl/>
          <w:sz w:val="24"/>
          <w:szCs w:val="24"/>
        </w:rPr>
        <w:t xml:space="preserve"> ملخص من صفحة واحدة باللغة العربية يُعلق في نقطة الاستخدام (المخاطر، معدات الوقاية، الإسعافات الأولية، التصرف عند الانسكاب).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المخاطر الكيميائية:</w:t>
      </w:r>
      <w:r>
        <w:rPr>
          <w:rFonts w:ascii="Calibri" w:hAnsi="Calibri" w:cs="Arial"/>
          <w:rtl/>
          <w:sz w:val="24"/>
          <w:szCs w:val="24"/>
        </w:rPr>
        <w:t xml:space="preserve"> تقدير احتمال وشدة الضرر الناتج عن مادة كيميائية في مهمة معينة، والضوابط اللازمة لخفضه.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جمع صحائف بيانات السلامة والتحقق منها</w:t>
      </w:r>
    </w:p>
    <w:p>
      <w:pPr>
        <w:pStyle w:val="ListeParagraf"/>
        <w:bidi/>
        <w:spacing w:after="80"/>
        <w:ind w:left="0" w:right="709"/>
        <w:jc w:val="both"/>
      </w:pPr>
      <w:r>
        <w:rPr>
          <w:rFonts w:ascii="Calibri" w:hAnsi="Calibri" w:cs="Arial"/>
          <w:rtl/>
          <w:sz w:val="24"/>
          <w:szCs w:val="24"/>
        </w:rPr>
        <w:t xml:space="preserve">1.1. لا تُستلم أي مادة كيميائية دون صحيفة بيانات سلامة سارية باللغتين الإنجليزية والعربية، ويجب أن تتبع الصحيفة نموذج GHS المكون من 16 قسمًا.</w:t>
      </w:r>
    </w:p>
    <w:p>
      <w:pPr>
        <w:pStyle w:val="ListeParagraf"/>
        <w:bidi/>
        <w:spacing w:after="80"/>
        <w:ind w:left="0" w:right="709"/>
        <w:jc w:val="both"/>
      </w:pPr>
      <w:r>
        <w:rPr>
          <w:rFonts w:ascii="Calibri" w:hAnsi="Calibri" w:cs="Arial"/>
          <w:rtl/>
          <w:sz w:val="24"/>
          <w:szCs w:val="24"/>
        </w:rPr>
        <w:t xml:space="preserve">1.2. يتحقق مدير الكيماويات من تطابق الصحيفة مع اسم المنتج والمورد، واكتمال عبارات الخطر والتركيب، وألا يزيد عمر تاريخ المراجعة عن ثلاث سنوات.</w:t>
      </w:r>
    </w:p>
    <w:p>
      <w:pPr>
        <w:pStyle w:val="ListeParagraf"/>
        <w:bidi/>
        <w:spacing w:after="80"/>
        <w:ind w:left="0" w:right="709"/>
        <w:jc w:val="both"/>
      </w:pPr>
      <w:r>
        <w:rPr>
          <w:rFonts w:ascii="Calibri" w:hAnsi="Calibri" w:cs="Arial"/>
          <w:rtl/>
          <w:sz w:val="24"/>
          <w:szCs w:val="24"/>
        </w:rPr>
        <w:t xml:space="preserve">1.3. تُعاد الصحائف الناقصة أو القديمة إلى المورد عن طريق قسم المشتريات لتصحيحها.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سجل صحائف بيانات السلامة وإتاحتها</w:t>
      </w:r>
    </w:p>
    <w:p>
      <w:pPr>
        <w:pStyle w:val="ListeParagraf"/>
        <w:bidi/>
        <w:spacing w:after="80"/>
        <w:ind w:left="0" w:right="709"/>
        <w:jc w:val="both"/>
      </w:pPr>
      <w:r>
        <w:rPr>
          <w:rFonts w:ascii="Calibri" w:hAnsi="Calibri" w:cs="Arial"/>
          <w:rtl/>
          <w:sz w:val="24"/>
          <w:szCs w:val="24"/>
        </w:rPr>
        <w:t xml:space="preserve">2.1. تُحفظ الصحائف المعتمدة في سجل صحائف بيانات السلامة (إلكترونيًا وورقيًا) تحت الرمز الكيميائي.</w:t>
      </w:r>
    </w:p>
    <w:p>
      <w:pPr>
        <w:pStyle w:val="ListeParagraf"/>
        <w:bidi/>
        <w:spacing w:after="80"/>
        <w:ind w:left="0" w:right="709"/>
        <w:jc w:val="both"/>
      </w:pPr>
      <w:r>
        <w:rPr>
          <w:rFonts w:ascii="Calibri" w:hAnsi="Calibri" w:cs="Arial"/>
          <w:rtl/>
          <w:sz w:val="24"/>
          <w:szCs w:val="24"/>
        </w:rPr>
        <w:t xml:space="preserve">2.2. تُحفظ ملفات ورقية للصحائف في مخزن الكيماويات ومطبخ الألوان وقسم الصباغة والطباعة والمختبر ومحطة معالجة مياه الصرف وغرفة الإسعافات الأولية.</w:t>
      </w:r>
    </w:p>
    <w:p>
      <w:pPr>
        <w:pStyle w:val="ListeParagraf"/>
        <w:bidi/>
        <w:spacing w:after="80"/>
        <w:ind w:left="0" w:right="709"/>
        <w:jc w:val="both"/>
      </w:pPr>
      <w:r>
        <w:rPr>
          <w:rFonts w:ascii="Calibri" w:hAnsi="Calibri" w:cs="Arial"/>
          <w:rtl/>
          <w:sz w:val="24"/>
          <w:szCs w:val="24"/>
        </w:rPr>
        <w:t xml:space="preserve">2.3. تُعلق بطاقة ملخص صحيفة بيانات السلامة باللغة العربية في كل نقطة استخدام.</w:t>
      </w:r>
    </w:p>
    <w:p>
      <w:pPr>
        <w:pStyle w:val="ListeParagraf"/>
        <w:bidi/>
        <w:spacing w:after="80"/>
        <w:ind w:left="0" w:right="709"/>
        <w:jc w:val="both"/>
      </w:pPr>
      <w:r>
        <w:rPr>
          <w:rFonts w:ascii="Calibri" w:hAnsi="Calibri" w:cs="Arial"/>
          <w:rtl/>
          <w:sz w:val="24"/>
          <w:szCs w:val="24"/>
        </w:rPr>
        <w:t xml:space="preserve">2.4. تُزال الصحائف الملغاة من نقاط الاستخدام وتُؤرشف؛ ويُراجع السجل سنويًا ويُسجل كل تحديث للصحيفة.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تقييم المخاطر</w:t>
      </w:r>
    </w:p>
    <w:p>
      <w:pPr>
        <w:pStyle w:val="ListeParagraf"/>
        <w:bidi/>
        <w:spacing w:after="80"/>
        <w:ind w:left="0" w:right="709"/>
        <w:jc w:val="both"/>
      </w:pPr>
      <w:r>
        <w:rPr>
          <w:rFonts w:ascii="Calibri" w:hAnsi="Calibri" w:cs="Arial"/>
          <w:rtl/>
          <w:sz w:val="24"/>
          <w:szCs w:val="24"/>
        </w:rPr>
        <w:t xml:space="preserve">3.1. يُعد تقييم للمخاطر الكيميائية لكل مادة أو مجموعة مواد متشابهة ولكل مهمة، قبل أول استخدام وعند تغير العملية أو الكمية أو صحيفة بيانات السلامة.</w:t>
      </w:r>
    </w:p>
    <w:p>
      <w:pPr>
        <w:pStyle w:val="ListeParagraf"/>
        <w:bidi/>
        <w:spacing w:after="80"/>
        <w:ind w:left="0" w:right="709"/>
        <w:jc w:val="both"/>
      </w:pPr>
      <w:r>
        <w:rPr>
          <w:rFonts w:ascii="Calibri" w:hAnsi="Calibri" w:cs="Arial"/>
          <w:rtl/>
          <w:sz w:val="24"/>
          <w:szCs w:val="24"/>
        </w:rPr>
        <w:t xml:space="preserve">3.2. يأخذ التقييم في الاعتبار:</w:t>
      </w:r>
    </w:p>
    <w:p>
      <w:pPr>
        <w:pStyle w:val="ListeParagraf"/>
        <w:numPr>
          <w:ilvl w:val="0"/>
          <w:numId w:val="1"/>
        </w:numPr>
        <w:bidi/>
        <w:spacing w:after="60"/>
        <w:jc w:val="both"/>
      </w:pPr>
      <w:r>
        <w:rPr>
          <w:rFonts w:ascii="Calibri" w:hAnsi="Calibri" w:cs="Arial"/>
          <w:rtl/>
          <w:sz w:val="24"/>
          <w:szCs w:val="24"/>
        </w:rPr>
        <w:t xml:space="preserve">فئة الخطر وفق GHS وعبارات الخطر (H-statements)،</w:t>
      </w:r>
    </w:p>
    <w:p>
      <w:pPr>
        <w:pStyle w:val="ListeParagraf"/>
        <w:numPr>
          <w:ilvl w:val="0"/>
          <w:numId w:val="1"/>
        </w:numPr>
        <w:bidi/>
        <w:spacing w:after="60"/>
        <w:jc w:val="both"/>
      </w:pPr>
      <w:r>
        <w:rPr>
          <w:rFonts w:ascii="Calibri" w:hAnsi="Calibri" w:cs="Arial"/>
          <w:rtl/>
          <w:sz w:val="24"/>
          <w:szCs w:val="24"/>
        </w:rPr>
        <w:t xml:space="preserve">طريق التعرض (الاستنشاق، الجلد، العينين، البلع) والكمية المستخدمة ومدة المهمة وتكرارها،</w:t>
      </w:r>
    </w:p>
    <w:p>
      <w:pPr>
        <w:pStyle w:val="ListeParagraf"/>
        <w:numPr>
          <w:ilvl w:val="0"/>
          <w:numId w:val="1"/>
        </w:numPr>
        <w:bidi/>
        <w:spacing w:after="60"/>
        <w:jc w:val="both"/>
      </w:pPr>
      <w:r>
        <w:rPr>
          <w:rFonts w:ascii="Calibri" w:hAnsi="Calibri" w:cs="Arial"/>
          <w:rtl/>
          <w:sz w:val="24"/>
          <w:szCs w:val="24"/>
        </w:rPr>
        <w:t xml:space="preserve">توافق التخزين وخطر الحريق والانفجار والخطر البيئي على التربة ومياه الصرف،</w:t>
      </w:r>
    </w:p>
    <w:p>
      <w:pPr>
        <w:pStyle w:val="ListeParagraf"/>
        <w:numPr>
          <w:ilvl w:val="0"/>
          <w:numId w:val="1"/>
        </w:numPr>
        <w:bidi/>
        <w:spacing w:after="60"/>
        <w:jc w:val="both"/>
      </w:pPr>
      <w:r>
        <w:rPr>
          <w:rFonts w:ascii="Calibri" w:hAnsi="Calibri" w:cs="Arial"/>
          <w:rtl/>
          <w:sz w:val="24"/>
          <w:szCs w:val="24"/>
        </w:rPr>
        <w:t xml:space="preserve">الفئات الأكثر عرضة للخطر، وخاصة النساء الحوامل والمرضعات.</w:t>
      </w:r>
    </w:p>
    <w:p>
      <w:pPr>
        <w:pStyle w:val="ListeParagraf"/>
        <w:bidi/>
        <w:spacing w:after="80"/>
        <w:ind w:left="0" w:right="709"/>
        <w:jc w:val="both"/>
      </w:pPr>
      <w:r>
        <w:rPr>
          <w:rFonts w:ascii="Calibri" w:hAnsi="Calibri" w:cs="Arial"/>
          <w:rtl/>
          <w:sz w:val="24"/>
          <w:szCs w:val="24"/>
        </w:rPr>
        <w:t xml:space="preserve">3.3. تُختار الضوابط بالترتيب التالي: الإزالة أو الاستبدال، ثم الضوابط الهندسية (التهوية الموضعية، الجرعات المغلقة، الأحواض الحاجزة)، ثم الضوابط الإدارية (التدريب، الإجراءات، اللافتات)، ثم معدات الوقاية الشخصية.</w:t>
      </w:r>
    </w:p>
    <w:p>
      <w:pPr>
        <w:pStyle w:val="ListeParagraf"/>
        <w:bidi/>
        <w:spacing w:after="80"/>
        <w:ind w:left="0" w:right="709"/>
        <w:jc w:val="both"/>
      </w:pPr>
      <w:r>
        <w:rPr>
          <w:rFonts w:ascii="Calibri" w:hAnsi="Calibri" w:cs="Arial"/>
          <w:rtl/>
          <w:sz w:val="24"/>
          <w:szCs w:val="24"/>
        </w:rPr>
        <w:t xml:space="preserve">3.4. لا تُقبل المخاطر العالية؛ وتُوقف المهمة إلى أن تخفض الضوابط الخطر إلى مستوى مقبول.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تطبيق الضوابط</w:t>
      </w:r>
    </w:p>
    <w:p>
      <w:pPr>
        <w:pStyle w:val="ListeParagraf"/>
        <w:bidi/>
        <w:spacing w:after="80"/>
        <w:ind w:left="0" w:right="709"/>
        <w:jc w:val="both"/>
      </w:pPr>
      <w:r>
        <w:rPr>
          <w:rFonts w:ascii="Calibri" w:hAnsi="Calibri" w:cs="Arial"/>
          <w:rtl/>
          <w:sz w:val="24"/>
          <w:szCs w:val="24"/>
        </w:rPr>
        <w:t xml:space="preserve">4.1. تُصرف معدات الوقاية الشخصية المطلوبة وفقًا للإجراء EMS.İS.PRO.18.03، وتُوفر محطات غسيل العيون ودشات الطوارئ حيث يتم التعامل مع المواد الأكالة.</w:t>
      </w:r>
    </w:p>
    <w:p>
      <w:pPr>
        <w:pStyle w:val="ListeParagraf"/>
        <w:bidi/>
        <w:spacing w:after="80"/>
        <w:ind w:left="0" w:right="709"/>
        <w:jc w:val="both"/>
      </w:pPr>
      <w:r>
        <w:rPr>
          <w:rFonts w:ascii="Calibri" w:hAnsi="Calibri" w:cs="Arial"/>
          <w:rtl/>
          <w:sz w:val="24"/>
          <w:szCs w:val="24"/>
        </w:rPr>
        <w:t xml:space="preserve">4.2. يُدرَّب العاملون على ملخص صحيفة بيانات السلامة والملصقات ومعدات الوقاية والاستجابة للانسكاب قبل التعامل مع المواد الكيميائية ومرة واحدة سنويًا على الأقل.</w:t>
      </w:r>
    </w:p>
    <w:p>
      <w:pPr>
        <w:pStyle w:val="ListeParagraf"/>
        <w:bidi/>
        <w:spacing w:after="80"/>
        <w:ind w:left="0" w:right="709"/>
        <w:jc w:val="both"/>
      </w:pPr>
      <w:r>
        <w:rPr>
          <w:rFonts w:ascii="Calibri" w:hAnsi="Calibri" w:cs="Arial"/>
          <w:rtl/>
          <w:sz w:val="24"/>
          <w:szCs w:val="24"/>
        </w:rPr>
        <w:t xml:space="preserve">4.3. تُجرى عند الحاجة قياسات لهواء بيئة العمل ورقابة صحية للعاملين المعرضين.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تُتابع المؤشرات التالية:</w:t>
      </w:r>
    </w:p>
    <w:p>
      <w:pPr>
        <w:pStyle w:val="ListeParagraf"/>
        <w:numPr>
          <w:ilvl w:val="0"/>
          <w:numId w:val="1"/>
        </w:numPr>
        <w:bidi/>
        <w:spacing w:after="60"/>
        <w:jc w:val="both"/>
      </w:pPr>
      <w:r>
        <w:rPr>
          <w:rFonts w:ascii="Calibri" w:hAnsi="Calibri" w:cs="Arial"/>
          <w:rtl/>
          <w:sz w:val="24"/>
          <w:szCs w:val="24"/>
        </w:rPr>
        <w:t xml:space="preserve">نسبة المواد الكيميائية التي تتوفر لها صحيفة بيانات سلامة سارية في نقطة الاستخدام (الهدف: 100%)،</w:t>
      </w:r>
    </w:p>
    <w:p>
      <w:pPr>
        <w:pStyle w:val="ListeParagraf"/>
        <w:numPr>
          <w:ilvl w:val="0"/>
          <w:numId w:val="1"/>
        </w:numPr>
        <w:bidi/>
        <w:spacing w:after="60"/>
        <w:jc w:val="both"/>
      </w:pPr>
      <w:r>
        <w:rPr>
          <w:rFonts w:ascii="Calibri" w:hAnsi="Calibri" w:cs="Arial"/>
          <w:rtl/>
          <w:sz w:val="24"/>
          <w:szCs w:val="24"/>
        </w:rPr>
        <w:t xml:space="preserve">نسبة المواد الكيميائية التي لها تقييم مخاطر ساري (الهدف: 100%)،</w:t>
      </w:r>
    </w:p>
    <w:p>
      <w:pPr>
        <w:pStyle w:val="ListeParagraf"/>
        <w:numPr>
          <w:ilvl w:val="0"/>
          <w:numId w:val="1"/>
        </w:numPr>
        <w:bidi/>
        <w:spacing w:after="60"/>
        <w:jc w:val="both"/>
      </w:pPr>
      <w:r>
        <w:rPr>
          <w:rFonts w:ascii="Calibri" w:hAnsi="Calibri" w:cs="Arial"/>
          <w:rtl/>
          <w:sz w:val="24"/>
          <w:szCs w:val="24"/>
        </w:rPr>
        <w:t xml:space="preserve">عدد الحوادث والحوادث الوشيكة المتعلقة بالمواد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صحائف بيانات السلامة وبطاقات الملخص</w:t>
      </w:r>
    </w:p>
    <w:p>
      <w:pPr>
        <w:pStyle w:val="ListeParagraf"/>
        <w:numPr>
          <w:ilvl w:val="0"/>
          <w:numId w:val="1"/>
        </w:numPr>
        <w:bidi/>
        <w:spacing w:after="60"/>
        <w:jc w:val="both"/>
      </w:pPr>
      <w:r>
        <w:rPr>
          <w:rFonts w:ascii="Calibri" w:hAnsi="Calibri" w:cs="Arial"/>
          <w:rtl/>
          <w:sz w:val="24"/>
          <w:szCs w:val="24"/>
        </w:rPr>
        <w:t xml:space="preserve">نماذج تقييم المخاطر الكيميائية</w:t>
      </w:r>
    </w:p>
    <w:p>
      <w:pPr>
        <w:pStyle w:val="ListeParagraf"/>
        <w:numPr>
          <w:ilvl w:val="0"/>
          <w:numId w:val="1"/>
        </w:numPr>
        <w:bidi/>
        <w:spacing w:after="60"/>
        <w:jc w:val="both"/>
      </w:pPr>
      <w:r>
        <w:rPr>
          <w:rFonts w:ascii="Calibri" w:hAnsi="Calibri" w:cs="Arial"/>
          <w:rtl/>
          <w:sz w:val="24"/>
          <w:szCs w:val="24"/>
        </w:rPr>
        <w:t xml:space="preserve">سجلات التدريب على المواد الكيميائية</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لقائمة ZDHC MRSL</w:t>
      </w:r>
    </w:p>
    <w:p>
      <w:pPr>
        <w:pStyle w:val="ListeParagraf"/>
        <w:numPr>
          <w:ilvl w:val="0"/>
          <w:numId w:val="1"/>
        </w:numPr>
        <w:bidi/>
        <w:spacing w:after="60"/>
        <w:jc w:val="both"/>
      </w:pPr>
      <w:r>
        <w:rPr>
          <w:rFonts w:ascii="Calibri" w:hAnsi="Calibri" w:cs="Arial"/>
          <w:rtl/>
          <w:sz w:val="24"/>
          <w:szCs w:val="24"/>
        </w:rPr>
        <w:t xml:space="preserve">EMS.QA.PRO.02.02. إجراء الإبلاغ عن المخاطر الكيميائية</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الوقاية الشخصية</w:t>
      </w:r>
    </w:p>
    <w:p>
      <w:pPr>
        <w:pStyle w:val="ListeParagraf"/>
        <w:numPr>
          <w:ilvl w:val="0"/>
          <w:numId w:val="1"/>
        </w:numPr>
        <w:bidi/>
        <w:spacing w:after="60"/>
        <w:jc w:val="both"/>
      </w:pPr>
      <w:r>
        <w:rPr>
          <w:rFonts w:ascii="Calibri" w:hAnsi="Calibri" w:cs="Arial"/>
          <w:rtl/>
          <w:sz w:val="24"/>
          <w:szCs w:val="24"/>
        </w:rPr>
        <w:t xml:space="preserve">EMS.KM.TL.20.02. تعليمات وسم حاويات 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الكيماويات وأخصائي السلامة والصحة المهنية، أو قبل ذلك بعد وقوع حادث كيميائي أو إدخال عملية جديدة أو تغير التشريعات. وتؤخذ ملاحظات العاملين المقدمة عبر لجنة السلامة والصحة المهنية في الاعتبار.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RISK ASSESSMENT AND SAFETY DATA SHEET MANAGEMENT PROCEDURE</w:t>
          </w:r>
        </w:p>
        <w:p>
          <w:pPr>
            <w:pStyle w:val="GvdeMetni2"/>
            <w:bidi/>
            <w:spacing w:line="276" w:lineRule="auto"/>
            <w:jc w:val="center"/>
          </w:pPr>
          <w:r>
            <w:rPr>
              <w:rFonts w:asciiTheme="minorHAnsi" w:hAnsiTheme="minorHAnsi" w:cs="Arial"/>
              <w:b/>
              <w:bCs/>
              <w:color w:val="000000" w:themeColor="text1"/>
              <w:sz w:val="22"/>
              <w:szCs w:val="22"/>
              <w:rtl/>
            </w:rPr>
            <w:t>إجراء تقييم المخاطر الكيميائية وإدارة صحائف بيانات السلامة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EMS.KM.PRO.20.02.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EMS.KM.PRO.20.02. CHEMICAL RISK ASSESSMENT AND SAFETY DATA SHEET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