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instruction describes how dyes and auxiliaries are weighed, dissolved and dosed in the colour kitchen of Eroglu Knitting (EMS), so that every batch receives the correct recipe, shade repeatability is achieved and workers are protected.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the colour kitchen staff, dyehouse operators and shift supervisors for all dyeing and finishing recipes.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Dyehouse Manager:</w:t>
      </w:r>
      <w:r>
        <w:rPr>
          <w:rFonts w:ascii="Calibri" w:hAnsi="Calibri" w:cs="Arial"/>
          <w:sz w:val="24"/>
          <w:szCs w:val="24"/>
        </w:rPr>
        <w:t xml:space="preserve"> Ensures that only approved recipes are used and that staff are trained.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Colour Kitchen Operator:</w:t>
      </w:r>
      <w:r>
        <w:rPr>
          <w:rFonts w:ascii="Calibri" w:hAnsi="Calibri" w:cs="Arial"/>
          <w:sz w:val="24"/>
          <w:szCs w:val="24"/>
        </w:rPr>
        <w:t xml:space="preserve"> Weighs, dissolves and delivers chemicals exactly as the recipe card and records each step.</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Shift Supervisor:</w:t>
      </w:r>
      <w:r>
        <w:rPr>
          <w:rFonts w:ascii="Calibri" w:hAnsi="Calibri" w:cs="Arial"/>
          <w:sz w:val="24"/>
          <w:szCs w:val="24"/>
        </w:rPr>
        <w:t xml:space="preserve"> Checks the recipe card, the batch number and the weighing record before dosing.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BEFORE STARTING</w:t>
      </w:r>
    </w:p>
    <w:p>
      <w:pPr>
        <w:pStyle w:val="ListeParagraf"/>
        <w:spacing w:after="80"/>
        <w:ind w:left="709" w:right="0"/>
        <w:jc w:val="both"/>
      </w:pPr>
      <w:r>
        <w:rPr>
          <w:rFonts w:ascii="Calibri" w:hAnsi="Calibri" w:cs="Arial"/>
          <w:sz w:val="24"/>
          <w:szCs w:val="24"/>
        </w:rPr>
        <w:t xml:space="preserve">1.1. Wear the required PPE: chemical-resistant gloves, safety goggles, dust mask for powder dyes and apron.</w:t>
      </w:r>
    </w:p>
    <w:p>
      <w:pPr>
        <w:pStyle w:val="ListeParagraf"/>
        <w:spacing w:after="80"/>
        <w:ind w:left="709" w:right="0"/>
        <w:jc w:val="both"/>
      </w:pPr>
      <w:r>
        <w:rPr>
          <w:rFonts w:ascii="Calibri" w:hAnsi="Calibri" w:cs="Arial"/>
          <w:sz w:val="24"/>
          <w:szCs w:val="24"/>
        </w:rPr>
        <w:t xml:space="preserve">1.2. Check that the balances are clean, levelled and within their calibration date; check the daily zero and test weight.</w:t>
      </w:r>
    </w:p>
    <w:p>
      <w:pPr>
        <w:pStyle w:val="ListeParagraf"/>
        <w:spacing w:after="80"/>
        <w:ind w:left="709" w:right="0"/>
        <w:jc w:val="both"/>
      </w:pPr>
      <w:r>
        <w:rPr>
          <w:rFonts w:ascii="Calibri" w:hAnsi="Calibri" w:cs="Arial"/>
          <w:sz w:val="24"/>
          <w:szCs w:val="24"/>
        </w:rPr>
        <w:t xml:space="preserve">1.3. Take the recipe card from the system and check the order, batch number, fabric weight and liquor ratio.</w:t>
      </w:r>
    </w:p>
    <w:p>
      <w:pPr>
        <w:pStyle w:val="ListeParagraf"/>
        <w:spacing w:after="80"/>
        <w:ind w:left="709" w:right="0"/>
        <w:jc w:val="both"/>
      </w:pPr>
      <w:r>
        <w:rPr>
          <w:rFonts w:ascii="Calibri" w:hAnsi="Calibri" w:cs="Arial"/>
          <w:sz w:val="24"/>
          <w:szCs w:val="24"/>
        </w:rPr>
        <w:t xml:space="preserve">1.4. Use only chemicals from the Approved Chemical List with a readable label and a valid lot.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WEIGHING AND DOSING</w:t>
      </w:r>
    </w:p>
    <w:p>
      <w:pPr>
        <w:pStyle w:val="ListeParagraf"/>
        <w:spacing w:after="80"/>
        <w:ind w:left="709" w:right="0"/>
        <w:jc w:val="both"/>
      </w:pPr>
      <w:r>
        <w:rPr>
          <w:rFonts w:ascii="Calibri" w:hAnsi="Calibri" w:cs="Arial"/>
          <w:sz w:val="24"/>
          <w:szCs w:val="24"/>
        </w:rPr>
        <w:t xml:space="preserve">2.1. Weigh each dye and chemical separately in a clean, labelled container, using the right balance for the quantity (precision balance for small dye quantities).</w:t>
      </w:r>
    </w:p>
    <w:p>
      <w:pPr>
        <w:pStyle w:val="ListeParagraf"/>
        <w:spacing w:after="80"/>
        <w:ind w:left="709" w:right="0"/>
        <w:jc w:val="both"/>
      </w:pPr>
      <w:r>
        <w:rPr>
          <w:rFonts w:ascii="Calibri" w:hAnsi="Calibri" w:cs="Arial"/>
          <w:sz w:val="24"/>
          <w:szCs w:val="24"/>
        </w:rPr>
        <w:t xml:space="preserve">2.2. Weigh in the order written on the recipe and tick each item on the recipe card immediately after weighing.</w:t>
      </w:r>
    </w:p>
    <w:p>
      <w:pPr>
        <w:pStyle w:val="ListeParagraf"/>
        <w:spacing w:after="80"/>
        <w:ind w:left="709" w:right="0"/>
        <w:jc w:val="both"/>
      </w:pPr>
      <w:r>
        <w:rPr>
          <w:rFonts w:ascii="Calibri" w:hAnsi="Calibri" w:cs="Arial"/>
          <w:sz w:val="24"/>
          <w:szCs w:val="24"/>
        </w:rPr>
        <w:t xml:space="preserve">2.3. Dissolve dyes and auxiliaries with water at the temperature specified in the approved recipe; stir until fully dissolved and filter if needed.</w:t>
      </w:r>
    </w:p>
    <w:p>
      <w:pPr>
        <w:pStyle w:val="ListeParagraf"/>
        <w:spacing w:after="80"/>
        <w:ind w:left="709" w:right="0"/>
        <w:jc w:val="both"/>
      </w:pPr>
      <w:r>
        <w:rPr>
          <w:rFonts w:ascii="Calibri" w:hAnsi="Calibri" w:cs="Arial"/>
          <w:sz w:val="24"/>
          <w:szCs w:val="24"/>
        </w:rPr>
        <w:t xml:space="preserve">2.4. Write the batch number and machine number on every container and deliver it to the machine, or dose it through the automatic dosing system.</w:t>
      </w:r>
    </w:p>
    <w:p>
      <w:pPr>
        <w:pStyle w:val="ListeParagraf"/>
        <w:spacing w:after="80"/>
        <w:ind w:left="709" w:right="0"/>
        <w:jc w:val="both"/>
      </w:pPr>
      <w:r>
        <w:rPr>
          <w:rFonts w:ascii="Calibri" w:hAnsi="Calibri" w:cs="Arial"/>
          <w:sz w:val="24"/>
          <w:szCs w:val="24"/>
        </w:rPr>
        <w:t xml:space="preserve">2.5. Record the actual weights, lot numbers and operator name in the weighing record.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SAFETY RULES / PROHIBITIONS</w:t>
      </w:r>
    </w:p>
    <w:p>
      <w:pPr>
        <w:pStyle w:val="ListeParagraf"/>
        <w:numPr>
          <w:ilvl w:val="0"/>
          <w:numId w:val="1"/>
        </w:numPr>
        <w:spacing w:after="60"/>
        <w:jc w:val="both"/>
      </w:pPr>
      <w:r>
        <w:rPr>
          <w:rFonts w:ascii="Calibri" w:hAnsi="Calibri" w:cs="Arial"/>
          <w:sz w:val="24"/>
          <w:szCs w:val="24"/>
        </w:rPr>
        <w:t xml:space="preserve">Do not use a chemical without a label or from an unknown container.</w:t>
      </w:r>
    </w:p>
    <w:p>
      <w:pPr>
        <w:pStyle w:val="ListeParagraf"/>
        <w:numPr>
          <w:ilvl w:val="0"/>
          <w:numId w:val="1"/>
        </w:numPr>
        <w:spacing w:after="60"/>
        <w:jc w:val="both"/>
      </w:pPr>
      <w:r>
        <w:rPr>
          <w:rFonts w:ascii="Calibri" w:hAnsi="Calibri" w:cs="Arial"/>
          <w:sz w:val="24"/>
          <w:szCs w:val="24"/>
        </w:rPr>
        <w:t xml:space="preserve">Do not mix chemicals unless the recipe requires it; never add water to concentrated acid, always add acid slowly to water.</w:t>
      </w:r>
    </w:p>
    <w:p>
      <w:pPr>
        <w:pStyle w:val="ListeParagraf"/>
        <w:numPr>
          <w:ilvl w:val="0"/>
          <w:numId w:val="1"/>
        </w:numPr>
        <w:spacing w:after="60"/>
        <w:jc w:val="both"/>
      </w:pPr>
      <w:r>
        <w:rPr>
          <w:rFonts w:ascii="Calibri" w:hAnsi="Calibri" w:cs="Arial"/>
          <w:sz w:val="24"/>
          <w:szCs w:val="24"/>
        </w:rPr>
        <w:t xml:space="preserve">Do not eat, drink or smoke in the colour kitchen.</w:t>
      </w:r>
    </w:p>
    <w:p>
      <w:pPr>
        <w:pStyle w:val="ListeParagraf"/>
        <w:numPr>
          <w:ilvl w:val="0"/>
          <w:numId w:val="1"/>
        </w:numPr>
        <w:spacing w:after="60"/>
        <w:jc w:val="both"/>
      </w:pPr>
      <w:r>
        <w:rPr>
          <w:rFonts w:ascii="Calibri" w:hAnsi="Calibri" w:cs="Arial"/>
          <w:sz w:val="24"/>
          <w:szCs w:val="24"/>
        </w:rPr>
        <w:t xml:space="preserve">Do not change any recipe quantity without the written approval of the Dyehouse Manager or Laboratory.</w:t>
      </w:r>
    </w:p>
    <w:p>
      <w:pPr>
        <w:pStyle w:val="ListeParagraf"/>
        <w:numPr>
          <w:ilvl w:val="0"/>
          <w:numId w:val="1"/>
        </w:numPr>
        <w:spacing w:after="60"/>
        <w:jc w:val="both"/>
      </w:pPr>
      <w:r>
        <w:rPr>
          <w:rFonts w:ascii="Calibri" w:hAnsi="Calibri" w:cs="Arial"/>
          <w:sz w:val="24"/>
          <w:szCs w:val="24"/>
        </w:rPr>
        <w:t xml:space="preserve">Do not leave containers open; close them immediately after use.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IN CASE OF PROBLEM / EMERGENCY</w:t>
      </w:r>
    </w:p>
    <w:p>
      <w:pPr>
        <w:pStyle w:val="ListeParagraf"/>
        <w:spacing w:after="80"/>
        <w:ind w:left="709" w:right="0"/>
        <w:jc w:val="both"/>
      </w:pPr>
      <w:r>
        <w:rPr>
          <w:rFonts w:ascii="Calibri" w:hAnsi="Calibri" w:cs="Arial"/>
          <w:sz w:val="24"/>
          <w:szCs w:val="24"/>
        </w:rPr>
        <w:t xml:space="preserve">4.1. If a weighing error is noticed, stop, inform the supervisor and do not send the chemicals to the machine.</w:t>
      </w:r>
    </w:p>
    <w:p>
      <w:pPr>
        <w:pStyle w:val="ListeParagraf"/>
        <w:spacing w:after="80"/>
        <w:ind w:left="709" w:right="0"/>
        <w:jc w:val="both"/>
      </w:pPr>
      <w:r>
        <w:rPr>
          <w:rFonts w:ascii="Calibri" w:hAnsi="Calibri" w:cs="Arial"/>
          <w:sz w:val="24"/>
          <w:szCs w:val="24"/>
        </w:rPr>
        <w:t xml:space="preserve">4.2. For a spill, apply EMS.KM.TL.20.03; for skin or eye contact, rinse with water for at least 15 minutes at the eye wash station and call first aid.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RELATED DOCUMENTS AND RECORDS</w:t>
      </w:r>
    </w:p>
    <w:p>
      <w:pPr>
        <w:pStyle w:val="ListeParagraf"/>
        <w:numPr>
          <w:ilvl w:val="0"/>
          <w:numId w:val="1"/>
        </w:numPr>
        <w:spacing w:after="60"/>
        <w:jc w:val="both"/>
      </w:pPr>
      <w:r>
        <w:rPr>
          <w:rFonts w:ascii="Calibri" w:hAnsi="Calibri" w:cs="Arial"/>
          <w:sz w:val="24"/>
          <w:szCs w:val="24"/>
        </w:rPr>
        <w:t xml:space="preserve">Recipe Card and Weighing Record</w:t>
      </w:r>
    </w:p>
    <w:p>
      <w:pPr>
        <w:pStyle w:val="ListeParagraf"/>
        <w:numPr>
          <w:ilvl w:val="0"/>
          <w:numId w:val="1"/>
        </w:numPr>
        <w:spacing w:after="60"/>
        <w:jc w:val="both"/>
      </w:pPr>
      <w:r>
        <w:rPr>
          <w:rFonts w:ascii="Calibri" w:hAnsi="Calibri" w:cs="Arial"/>
          <w:sz w:val="24"/>
          <w:szCs w:val="24"/>
        </w:rPr>
        <w:t xml:space="preserve">Balance Daily Check Record</w:t>
      </w:r>
    </w:p>
    <w:p>
      <w:pPr>
        <w:pStyle w:val="ListeParagraf"/>
        <w:numPr>
          <w:ilvl w:val="0"/>
          <w:numId w:val="1"/>
        </w:numPr>
        <w:spacing w:after="60"/>
        <w:jc w:val="both"/>
      </w:pPr>
      <w:r>
        <w:rPr>
          <w:rFonts w:ascii="Calibri" w:hAnsi="Calibri" w:cs="Arial"/>
          <w:sz w:val="24"/>
          <w:szCs w:val="24"/>
        </w:rPr>
        <w:t xml:space="preserve">EMS.BY.PRO.06.01. Recipe Preparation and Lab Dip Approval Procedure</w:t>
      </w:r>
    </w:p>
    <w:p>
      <w:pPr>
        <w:pStyle w:val="ListeParagraf"/>
        <w:numPr>
          <w:ilvl w:val="0"/>
          <w:numId w:val="1"/>
        </w:numPr>
        <w:spacing w:after="60"/>
        <w:jc w:val="both"/>
      </w:pPr>
      <w:r>
        <w:rPr>
          <w:rFonts w:ascii="Calibri" w:hAnsi="Calibri" w:cs="Arial"/>
          <w:sz w:val="24"/>
          <w:szCs w:val="24"/>
        </w:rPr>
        <w:t xml:space="preserve">EMS.KM.PRO.20.02. Chemical Risk Assessment and Safety Data Sheet Management Procedure</w:t>
      </w:r>
    </w:p>
    <w:p>
      <w:pPr>
        <w:pStyle w:val="ListeParagraf"/>
        <w:numPr>
          <w:ilvl w:val="0"/>
          <w:numId w:val="1"/>
        </w:numPr>
        <w:spacing w:after="60"/>
        <w:jc w:val="both"/>
      </w:pPr>
      <w:r>
        <w:rPr>
          <w:rFonts w:ascii="Calibri" w:hAnsi="Calibri" w:cs="Arial"/>
          <w:sz w:val="24"/>
          <w:szCs w:val="24"/>
        </w:rPr>
        <w:t xml:space="preserve">EMS.KM.TL.20.03. Chemical Spill Kit Use Instruction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FEEDBACK AND MONITORING</w:t>
      </w:r>
    </w:p>
    <w:p>
      <w:pPr>
        <w:pStyle w:val="ListeParagraf"/>
        <w:spacing w:after="80"/>
        <w:ind w:left="709" w:right="0"/>
        <w:jc w:val="both"/>
      </w:pPr>
      <w:r>
        <w:rPr>
          <w:rFonts w:ascii="Calibri" w:hAnsi="Calibri" w:cs="Arial"/>
          <w:sz w:val="24"/>
          <w:szCs w:val="24"/>
        </w:rPr>
        <w:t xml:space="preserve">Weighing errors, right-first-time rate and chemical consumption are monitored monthly by the Dyehouse Manager. This instruction is reviewed every year or after any incident or process change.</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تصف هذه التعليمات كيفية وزن الأصباغ والمواد المساعدة وإذابتها وإضافتها في مطبخ الألوان لدى شركة إيروغلو للتريكو (EMS)، بحيث تتلقى كل دفعة الوصفة الصحيحة ويتحقق تكرار اللون ويُحمى العاملون.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هذه التعليمات على العاملين في مطبخ الألوان ومشغلي قسم الصباغة ومشرفي الورديات لجميع وصفات الصباغة والتجهيز.</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قسم الصباغة:</w:t>
      </w:r>
      <w:r>
        <w:rPr>
          <w:rFonts w:ascii="Calibri" w:hAnsi="Calibri" w:cs="Arial"/>
          <w:rtl/>
          <w:sz w:val="24"/>
          <w:szCs w:val="24"/>
        </w:rPr>
        <w:t xml:space="preserve"> يضمن استخدام الوصفات المعتمدة فقط وتدريب العاملين.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مشغل مطبخ الألوان:</w:t>
      </w:r>
      <w:r>
        <w:rPr>
          <w:rFonts w:ascii="Calibri" w:hAnsi="Calibri" w:cs="Arial"/>
          <w:rtl/>
          <w:sz w:val="24"/>
          <w:szCs w:val="24"/>
        </w:rPr>
        <w:t xml:space="preserve"> يزن المواد الكيميائية ويذيبها ويسلمها تمامًا كما في بطاقة الوصفة ويسجل كل خطوة.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الوردية:</w:t>
      </w:r>
      <w:r>
        <w:rPr>
          <w:rFonts w:ascii="Calibri" w:hAnsi="Calibri" w:cs="Arial"/>
          <w:rtl/>
          <w:sz w:val="24"/>
          <w:szCs w:val="24"/>
        </w:rPr>
        <w:t xml:space="preserve"> يراجع بطاقة الوصفة ورقم الدفعة وسجل الوزن قبل الإضافة.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قبل البدء</w:t>
      </w:r>
    </w:p>
    <w:p>
      <w:pPr>
        <w:pStyle w:val="ListeParagraf"/>
        <w:bidi/>
        <w:spacing w:after="80"/>
        <w:ind w:left="0" w:right="709"/>
        <w:jc w:val="both"/>
      </w:pPr>
      <w:r>
        <w:rPr>
          <w:rFonts w:ascii="Calibri" w:hAnsi="Calibri" w:cs="Arial"/>
          <w:rtl/>
          <w:sz w:val="24"/>
          <w:szCs w:val="24"/>
        </w:rPr>
        <w:t xml:space="preserve">1.1. ارتدِ معدات الوقاية المطلوبة: قفازات مقاومة للمواد الكيميائية، ونظارات واقية، وكمامة للغبار عند التعامل مع الأصباغ المسحوقة، ومريلة.</w:t>
      </w:r>
    </w:p>
    <w:p>
      <w:pPr>
        <w:pStyle w:val="ListeParagraf"/>
        <w:bidi/>
        <w:spacing w:after="80"/>
        <w:ind w:left="0" w:right="709"/>
        <w:jc w:val="both"/>
      </w:pPr>
      <w:r>
        <w:rPr>
          <w:rFonts w:ascii="Calibri" w:hAnsi="Calibri" w:cs="Arial"/>
          <w:rtl/>
          <w:sz w:val="24"/>
          <w:szCs w:val="24"/>
        </w:rPr>
        <w:t xml:space="preserve">1.2. تأكد من نظافة الموازين واستوائها وسريان تاريخ معايرتها؛ وافحص الصفر اليومي ووزن الاختبار.</w:t>
      </w:r>
    </w:p>
    <w:p>
      <w:pPr>
        <w:pStyle w:val="ListeParagraf"/>
        <w:bidi/>
        <w:spacing w:after="80"/>
        <w:ind w:left="0" w:right="709"/>
        <w:jc w:val="both"/>
      </w:pPr>
      <w:r>
        <w:rPr>
          <w:rFonts w:ascii="Calibri" w:hAnsi="Calibri" w:cs="Arial"/>
          <w:rtl/>
          <w:sz w:val="24"/>
          <w:szCs w:val="24"/>
        </w:rPr>
        <w:t xml:space="preserve">1.3. استلم بطاقة الوصفة من النظام وتحقق من الطلبية ورقم الدفعة ووزن القماش ونسبة الحمام.</w:t>
      </w:r>
    </w:p>
    <w:p>
      <w:pPr>
        <w:pStyle w:val="ListeParagraf"/>
        <w:bidi/>
        <w:spacing w:after="80"/>
        <w:ind w:left="0" w:right="709"/>
        <w:jc w:val="both"/>
      </w:pPr>
      <w:r>
        <w:rPr>
          <w:rFonts w:ascii="Calibri" w:hAnsi="Calibri" w:cs="Arial"/>
          <w:rtl/>
          <w:sz w:val="24"/>
          <w:szCs w:val="24"/>
        </w:rPr>
        <w:t xml:space="preserve">1.4. لا تستخدم إلا المواد المدرجة في قائمة الكيماويات المعتمدة ذات الملصق المقروء ورقم التشغيلة الساري.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الوزن والإضافة</w:t>
      </w:r>
    </w:p>
    <w:p>
      <w:pPr>
        <w:pStyle w:val="ListeParagraf"/>
        <w:bidi/>
        <w:spacing w:after="80"/>
        <w:ind w:left="0" w:right="709"/>
        <w:jc w:val="both"/>
      </w:pPr>
      <w:r>
        <w:rPr>
          <w:rFonts w:ascii="Calibri" w:hAnsi="Calibri" w:cs="Arial"/>
          <w:rtl/>
          <w:sz w:val="24"/>
          <w:szCs w:val="24"/>
        </w:rPr>
        <w:t xml:space="preserve">2.1. زن كل صبغة ومادة كيميائية على حدة في وعاء نظيف وموسوم، باستخدام الميزان المناسب للكمية (ميزان دقيق للكميات الصغيرة من الأصباغ).</w:t>
      </w:r>
    </w:p>
    <w:p>
      <w:pPr>
        <w:pStyle w:val="ListeParagraf"/>
        <w:bidi/>
        <w:spacing w:after="80"/>
        <w:ind w:left="0" w:right="709"/>
        <w:jc w:val="both"/>
      </w:pPr>
      <w:r>
        <w:rPr>
          <w:rFonts w:ascii="Calibri" w:hAnsi="Calibri" w:cs="Arial"/>
          <w:rtl/>
          <w:sz w:val="24"/>
          <w:szCs w:val="24"/>
        </w:rPr>
        <w:t xml:space="preserve">2.2. زن المواد بالترتيب المكتوب في الوصفة وضع علامة على كل بند في بطاقة الوصفة فور وزنه.</w:t>
      </w:r>
    </w:p>
    <w:p>
      <w:pPr>
        <w:pStyle w:val="ListeParagraf"/>
        <w:bidi/>
        <w:spacing w:after="80"/>
        <w:ind w:left="0" w:right="709"/>
        <w:jc w:val="both"/>
      </w:pPr>
      <w:r>
        <w:rPr>
          <w:rFonts w:ascii="Calibri" w:hAnsi="Calibri" w:cs="Arial"/>
          <w:rtl/>
          <w:sz w:val="24"/>
          <w:szCs w:val="24"/>
        </w:rPr>
        <w:t xml:space="preserve">2.3. أذب الأصباغ والمواد المساعدة في ماء بدرجة الحرارة المحددة في الوصفة المعتمدة؛ وقلّب حتى الذوبان الكامل ورشّح عند الحاجة.</w:t>
      </w:r>
    </w:p>
    <w:p>
      <w:pPr>
        <w:pStyle w:val="ListeParagraf"/>
        <w:bidi/>
        <w:spacing w:after="80"/>
        <w:ind w:left="0" w:right="709"/>
        <w:jc w:val="both"/>
      </w:pPr>
      <w:r>
        <w:rPr>
          <w:rFonts w:ascii="Calibri" w:hAnsi="Calibri" w:cs="Arial"/>
          <w:rtl/>
          <w:sz w:val="24"/>
          <w:szCs w:val="24"/>
        </w:rPr>
        <w:t xml:space="preserve">2.4. اكتب رقم الدفعة ورقم الماكينة على كل وعاء وسلّمه إلى الماكينة، أو أضفه عبر نظام الجرعات الآلي.</w:t>
      </w:r>
    </w:p>
    <w:p>
      <w:pPr>
        <w:pStyle w:val="ListeParagraf"/>
        <w:bidi/>
        <w:spacing w:after="80"/>
        <w:ind w:left="0" w:right="709"/>
        <w:jc w:val="both"/>
      </w:pPr>
      <w:r>
        <w:rPr>
          <w:rFonts w:ascii="Calibri" w:hAnsi="Calibri" w:cs="Arial"/>
          <w:rtl/>
          <w:sz w:val="24"/>
          <w:szCs w:val="24"/>
        </w:rPr>
        <w:t xml:space="preserve">2.5. سجّل الأوزان الفعلية وأرقام التشغيلات واسم المشغل في سجل الوزن.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قواعد السلامة / المحظورات</w:t>
      </w:r>
    </w:p>
    <w:p>
      <w:pPr>
        <w:pStyle w:val="ListeParagraf"/>
        <w:numPr>
          <w:ilvl w:val="0"/>
          <w:numId w:val="1"/>
        </w:numPr>
        <w:bidi/>
        <w:spacing w:after="60"/>
        <w:jc w:val="both"/>
      </w:pPr>
      <w:r>
        <w:rPr>
          <w:rFonts w:ascii="Calibri" w:hAnsi="Calibri" w:cs="Arial"/>
          <w:rtl/>
          <w:sz w:val="24"/>
          <w:szCs w:val="24"/>
        </w:rPr>
        <w:t xml:space="preserve">لا تستخدم مادة كيميائية بدون ملصق أو من وعاء مجهول.</w:t>
      </w:r>
    </w:p>
    <w:p>
      <w:pPr>
        <w:pStyle w:val="ListeParagraf"/>
        <w:numPr>
          <w:ilvl w:val="0"/>
          <w:numId w:val="1"/>
        </w:numPr>
        <w:bidi/>
        <w:spacing w:after="60"/>
        <w:jc w:val="both"/>
      </w:pPr>
      <w:r>
        <w:rPr>
          <w:rFonts w:ascii="Calibri" w:hAnsi="Calibri" w:cs="Arial"/>
          <w:rtl/>
          <w:sz w:val="24"/>
          <w:szCs w:val="24"/>
        </w:rPr>
        <w:t xml:space="preserve">لا تخلط المواد الكيميائية إلا إذا تطلبت الوصفة ذلك؛ ولا تضف الماء أبدًا إلى الحمض المركز، بل أضف الحمض ببطء إلى الماء دائمًا.</w:t>
      </w:r>
    </w:p>
    <w:p>
      <w:pPr>
        <w:pStyle w:val="ListeParagraf"/>
        <w:numPr>
          <w:ilvl w:val="0"/>
          <w:numId w:val="1"/>
        </w:numPr>
        <w:bidi/>
        <w:spacing w:after="60"/>
        <w:jc w:val="both"/>
      </w:pPr>
      <w:r>
        <w:rPr>
          <w:rFonts w:ascii="Calibri" w:hAnsi="Calibri" w:cs="Arial"/>
          <w:rtl/>
          <w:sz w:val="24"/>
          <w:szCs w:val="24"/>
        </w:rPr>
        <w:t xml:space="preserve">لا تأكل ولا تشرب ولا تدخن في مطبخ الألوان.</w:t>
      </w:r>
    </w:p>
    <w:p>
      <w:pPr>
        <w:pStyle w:val="ListeParagraf"/>
        <w:numPr>
          <w:ilvl w:val="0"/>
          <w:numId w:val="1"/>
        </w:numPr>
        <w:bidi/>
        <w:spacing w:after="60"/>
        <w:jc w:val="both"/>
      </w:pPr>
      <w:r>
        <w:rPr>
          <w:rFonts w:ascii="Calibri" w:hAnsi="Calibri" w:cs="Arial"/>
          <w:rtl/>
          <w:sz w:val="24"/>
          <w:szCs w:val="24"/>
        </w:rPr>
        <w:t xml:space="preserve">لا تغير أي كمية في الوصفة دون موافقة كتابية من مدير قسم الصباغة أو المختبر.</w:t>
      </w:r>
    </w:p>
    <w:p>
      <w:pPr>
        <w:pStyle w:val="ListeParagraf"/>
        <w:numPr>
          <w:ilvl w:val="0"/>
          <w:numId w:val="1"/>
        </w:numPr>
        <w:bidi/>
        <w:spacing w:after="60"/>
        <w:jc w:val="both"/>
      </w:pPr>
      <w:r>
        <w:rPr>
          <w:rFonts w:ascii="Calibri" w:hAnsi="Calibri" w:cs="Arial"/>
          <w:rtl/>
          <w:sz w:val="24"/>
          <w:szCs w:val="24"/>
        </w:rPr>
        <w:t xml:space="preserve">لا تترك الأوعية مفتوحة؛ أغلقها فور الاستخدام.</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عند حدوث مشكلة / حالة طوارئ</w:t>
      </w:r>
    </w:p>
    <w:p>
      <w:pPr>
        <w:pStyle w:val="ListeParagraf"/>
        <w:bidi/>
        <w:spacing w:after="80"/>
        <w:ind w:left="0" w:right="709"/>
        <w:jc w:val="both"/>
      </w:pPr>
      <w:r>
        <w:rPr>
          <w:rFonts w:ascii="Calibri" w:hAnsi="Calibri" w:cs="Arial"/>
          <w:rtl/>
          <w:sz w:val="24"/>
          <w:szCs w:val="24"/>
        </w:rPr>
        <w:t xml:space="preserve">4.1. إذا لاحظت خطأ في الوزن، توقف وأبلغ المشرف ولا ترسل المواد الكيميائية إلى الماكينة.</w:t>
      </w:r>
    </w:p>
    <w:p>
      <w:pPr>
        <w:pStyle w:val="ListeParagraf"/>
        <w:bidi/>
        <w:spacing w:after="80"/>
        <w:ind w:left="0" w:right="709"/>
        <w:jc w:val="both"/>
      </w:pPr>
      <w:r>
        <w:rPr>
          <w:rFonts w:ascii="Calibri" w:hAnsi="Calibri" w:cs="Arial"/>
          <w:rtl/>
          <w:sz w:val="24"/>
          <w:szCs w:val="24"/>
        </w:rPr>
        <w:t xml:space="preserve">4.2. عند الانسكاب طبّق التعليمات EMS.KM.TL.20.03؛ وعند ملامسة الجلد أو العين اغسل بالماء لمدة 15 دقيقة على الأقل في محطة غسيل العيون واستدعِ المسعف.</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بطاقة الوصفة وسجل الوزن</w:t>
      </w:r>
    </w:p>
    <w:p>
      <w:pPr>
        <w:pStyle w:val="ListeParagraf"/>
        <w:numPr>
          <w:ilvl w:val="0"/>
          <w:numId w:val="1"/>
        </w:numPr>
        <w:bidi/>
        <w:spacing w:after="60"/>
        <w:jc w:val="both"/>
      </w:pPr>
      <w:r>
        <w:rPr>
          <w:rFonts w:ascii="Calibri" w:hAnsi="Calibri" w:cs="Arial"/>
          <w:rtl/>
          <w:sz w:val="24"/>
          <w:szCs w:val="24"/>
        </w:rPr>
        <w:t xml:space="preserve">سجل الفحص اليومي للموازين</w:t>
      </w:r>
    </w:p>
    <w:p>
      <w:pPr>
        <w:pStyle w:val="ListeParagraf"/>
        <w:numPr>
          <w:ilvl w:val="0"/>
          <w:numId w:val="1"/>
        </w:numPr>
        <w:bidi/>
        <w:spacing w:after="60"/>
        <w:jc w:val="both"/>
      </w:pPr>
      <w:r>
        <w:rPr>
          <w:rFonts w:ascii="Calibri" w:hAnsi="Calibri" w:cs="Arial"/>
          <w:rtl/>
          <w:sz w:val="24"/>
          <w:szCs w:val="24"/>
        </w:rPr>
        <w:t xml:space="preserve">EMS.BY.PRO.06.01. إجراء إعداد الوصفات واعتماد عينات الصباغة المخبرية</w:t>
      </w:r>
    </w:p>
    <w:p>
      <w:pPr>
        <w:pStyle w:val="ListeParagraf"/>
        <w:numPr>
          <w:ilvl w:val="0"/>
          <w:numId w:val="1"/>
        </w:numPr>
        <w:bidi/>
        <w:spacing w:after="60"/>
        <w:jc w:val="both"/>
      </w:pPr>
      <w:r>
        <w:rPr>
          <w:rFonts w:ascii="Calibri" w:hAnsi="Calibri" w:cs="Arial"/>
          <w:rtl/>
          <w:sz w:val="24"/>
          <w:szCs w:val="24"/>
        </w:rPr>
        <w:t xml:space="preserve">EMS.KM.PRO.20.02. إجراء تقييم المخاطر الكيميائية وإدارة صحائف بيانات السلامة</w:t>
      </w:r>
    </w:p>
    <w:p>
      <w:pPr>
        <w:pStyle w:val="ListeParagraf"/>
        <w:numPr>
          <w:ilvl w:val="0"/>
          <w:numId w:val="1"/>
        </w:numPr>
        <w:bidi/>
        <w:spacing w:after="60"/>
        <w:jc w:val="both"/>
      </w:pPr>
      <w:r>
        <w:rPr>
          <w:rFonts w:ascii="Calibri" w:hAnsi="Calibri" w:cs="Arial"/>
          <w:rtl/>
          <w:sz w:val="24"/>
          <w:szCs w:val="24"/>
        </w:rPr>
        <w:t xml:space="preserve">EMS.KM.TL.20.03. تعليمات استخدام عدة الانسكاب الكيميائي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التغذية الراجعة والمتابعة</w:t>
      </w:r>
    </w:p>
    <w:p>
      <w:pPr>
        <w:pStyle w:val="ListeParagraf"/>
        <w:bidi/>
        <w:spacing w:after="80"/>
        <w:ind w:left="0" w:right="709"/>
        <w:jc w:val="both"/>
      </w:pPr>
      <w:r>
        <w:rPr>
          <w:rFonts w:ascii="Calibri" w:hAnsi="Calibri" w:cs="Arial"/>
          <w:rtl/>
          <w:sz w:val="24"/>
          <w:szCs w:val="24"/>
        </w:rPr>
        <w:t xml:space="preserve">يتابع مدير قسم الصباغة شهريًا أخطاء الوزن ومعدل النجاح من المرة الأولى واستهلاك المواد الكيميائية. وتُراجع هذه التعليمات سنويًا أو بعد أي حادث أو تغيير في العملية.</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Pr>
                <w:rFonts w:ascii="Calibri" w:eastAsia="Times New Roman" w:hAnsi="Calibri" w:cs="Calibri"/>
                <w:noProof/>
                <w:color w:val="000000"/>
                <w:lang w:val="en-GB" w:eastAsia="en-GB"/>
              </w:rPr>
              <w:drawing>
                <wp:anchor distT="0" distB="0" distL="114300" distR="114300" simplePos="0" relativeHeight="251658240" behindDoc="0" locked="0" layoutInCell="1" allowOverlap="1" wp14:anchorId="168E1990" wp14:editId="230A926C">
                  <wp:simplePos x="0" y="0"/>
                  <wp:positionH relativeFrom="column">
                    <wp:posOffset>-143510</wp:posOffset>
                  </wp:positionH>
                  <wp:positionV relativeFrom="paragraph">
                    <wp:posOffset>153670</wp:posOffset>
                  </wp:positionV>
                  <wp:extent cx="1569720" cy="1046480"/>
                  <wp:effectExtent l="0" t="0" r="0" b="0"/>
                  <wp:wrapNone/>
                  <wp:docPr id="196847015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70152" name="Resim 196847015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69720" cy="1046480"/>
                          </a:xfrm>
                          <a:prstGeom prst="rect">
                            <a:avLst/>
                          </a:prstGeom>
                        </pic:spPr>
                      </pic:pic>
                    </a:graphicData>
                  </a:graphic>
                  <wp14:sizeRelH relativeFrom="page">
                    <wp14:pctWidth>0</wp14:pctWidth>
                  </wp14:sizeRelH>
                  <wp14:sizeRelV relativeFrom="page">
                    <wp14:pctHeight>0</wp14:pctHeight>
                  </wp14:sizeRelV>
                </wp:anchor>
              </w:drawing>
            </w: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BAYDOGAN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COLOUR KITCHEN CHEMICAL WEIGHING AND DOSING INSTRUCTION</w:t>
          </w:r>
        </w:p>
        <w:p>
          <w:pPr>
            <w:pStyle w:val="GvdeMetni2"/>
            <w:bidi/>
            <w:spacing w:line="276" w:lineRule="auto"/>
            <w:jc w:val="center"/>
          </w:pPr>
          <w:r>
            <w:rPr>
              <w:rFonts w:asciiTheme="minorHAnsi" w:hAnsiTheme="minorHAnsi" w:cs="Arial"/>
              <w:b/>
              <w:bCs/>
              <w:color w:val="000000" w:themeColor="text1"/>
              <w:sz w:val="22"/>
              <w:szCs w:val="22"/>
              <w:rtl/>
            </w:rPr>
            <w:t>تعليمات وزن وجرعات المواد الكيميائية في مطبخ الألوان</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EMS.KM.TL.20.01.</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EMS.KM.TL.20.01. COLOUR KITCHEN CHEMICAL WEIGHING AND DOSING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