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all chemical containers at Eroglu Knitting (EMS) are labelled, so that every person can identify the chemical and its hazards at a glance and no unlabelled chemical is ever used.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original supplier containers, transfer (secondary) containers, day tanks, dosing tanks, spray bottles and waste chemical containers in all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Prepares the standard label templates and checks labelling during area inspections.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Checks that original containers are correctly labelled at receipt.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Users (operators, technicians, cleaners):</w:t>
      </w:r>
      <w:r>
        <w:rPr>
          <w:rFonts w:ascii="Calibri" w:hAnsi="Calibri" w:cs="Arial"/>
          <w:sz w:val="24"/>
          <w:szCs w:val="24"/>
        </w:rPr>
        <w:t xml:space="preserve"> Label every container they fill and report damaged or missing labels.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RECEIVING ORIGINAL CONTAINERS</w:t>
      </w:r>
    </w:p>
    <w:p>
      <w:pPr>
        <w:pStyle w:val="ListeParagraf"/>
        <w:spacing w:after="80"/>
        <w:ind w:left="709" w:right="0"/>
        <w:jc w:val="both"/>
      </w:pPr>
      <w:r>
        <w:rPr>
          <w:rFonts w:ascii="Calibri" w:hAnsi="Calibri" w:cs="Arial"/>
          <w:sz w:val="24"/>
          <w:szCs w:val="24"/>
        </w:rPr>
        <w:t xml:space="preserve">1.1. Accept only containers with the supplier GHS label showing product name, pictograms, signal word, hazard and precautionary statements and supplier details.</w:t>
      </w:r>
    </w:p>
    <w:p>
      <w:pPr>
        <w:pStyle w:val="ListeParagraf"/>
        <w:spacing w:after="80"/>
        <w:ind w:left="709" w:right="0"/>
        <w:jc w:val="both"/>
      </w:pPr>
      <w:r>
        <w:rPr>
          <w:rFonts w:ascii="Calibri" w:hAnsi="Calibri" w:cs="Arial"/>
          <w:sz w:val="24"/>
          <w:szCs w:val="24"/>
        </w:rPr>
        <w:t xml:space="preserve">1.2. Add the EMS chemical code and the receipt date; if the supplier label is not in Arabic, add an Arabic EMS label next to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LABELLING SECONDARY CONTAINERS</w:t>
      </w:r>
    </w:p>
    <w:p>
      <w:pPr>
        <w:pStyle w:val="ListeParagraf"/>
        <w:spacing w:after="80"/>
        <w:ind w:left="709" w:right="0"/>
        <w:jc w:val="both"/>
      </w:pPr>
      <w:r>
        <w:rPr>
          <w:rFonts w:ascii="Calibri" w:hAnsi="Calibri" w:cs="Arial"/>
          <w:sz w:val="24"/>
          <w:szCs w:val="24"/>
        </w:rPr>
        <w:t xml:space="preserve">2.1. Before filling, label the container with the EMS secondary label showing:</w:t>
      </w:r>
    </w:p>
    <w:p>
      <w:pPr>
        <w:pStyle w:val="ListeParagraf"/>
        <w:numPr>
          <w:ilvl w:val="0"/>
          <w:numId w:val="1"/>
        </w:numPr>
        <w:spacing w:after="60"/>
        <w:jc w:val="both"/>
      </w:pPr>
      <w:r>
        <w:rPr>
          <w:rFonts w:ascii="Calibri" w:hAnsi="Calibri" w:cs="Arial"/>
          <w:sz w:val="24"/>
          <w:szCs w:val="24"/>
        </w:rPr>
        <w:t xml:space="preserve">Chemical name and EMS chemical code,</w:t>
      </w:r>
    </w:p>
    <w:p>
      <w:pPr>
        <w:pStyle w:val="ListeParagraf"/>
        <w:numPr>
          <w:ilvl w:val="0"/>
          <w:numId w:val="1"/>
        </w:numPr>
        <w:spacing w:after="60"/>
        <w:jc w:val="both"/>
      </w:pPr>
      <w:r>
        <w:rPr>
          <w:rFonts w:ascii="Calibri" w:hAnsi="Calibri" w:cs="Arial"/>
          <w:sz w:val="24"/>
          <w:szCs w:val="24"/>
        </w:rPr>
        <w:t xml:space="preserve">GHS pictograms and signal word (Danger / Warning),</w:t>
      </w:r>
    </w:p>
    <w:p>
      <w:pPr>
        <w:pStyle w:val="ListeParagraf"/>
        <w:numPr>
          <w:ilvl w:val="0"/>
          <w:numId w:val="1"/>
        </w:numPr>
        <w:spacing w:after="60"/>
        <w:jc w:val="both"/>
      </w:pPr>
      <w:r>
        <w:rPr>
          <w:rFonts w:ascii="Calibri" w:hAnsi="Calibri" w:cs="Arial"/>
          <w:sz w:val="24"/>
          <w:szCs w:val="24"/>
        </w:rPr>
        <w:t xml:space="preserve">Main hazards and required PPE,</w:t>
      </w:r>
    </w:p>
    <w:p>
      <w:pPr>
        <w:pStyle w:val="ListeParagraf"/>
        <w:numPr>
          <w:ilvl w:val="0"/>
          <w:numId w:val="1"/>
        </w:numPr>
        <w:spacing w:after="60"/>
        <w:jc w:val="both"/>
      </w:pPr>
      <w:r>
        <w:rPr>
          <w:rFonts w:ascii="Calibri" w:hAnsi="Calibri" w:cs="Arial"/>
          <w:sz w:val="24"/>
          <w:szCs w:val="24"/>
        </w:rPr>
        <w:t xml:space="preserve">Filling date and name of the person who filled it.</w:t>
      </w:r>
    </w:p>
    <w:p>
      <w:pPr>
        <w:pStyle w:val="ListeParagraf"/>
        <w:spacing w:after="80"/>
        <w:ind w:left="709" w:right="0"/>
        <w:jc w:val="both"/>
      </w:pPr>
      <w:r>
        <w:rPr>
          <w:rFonts w:ascii="Calibri" w:hAnsi="Calibri" w:cs="Arial"/>
          <w:sz w:val="24"/>
          <w:szCs w:val="24"/>
        </w:rPr>
        <w:t xml:space="preserve">2.2. Use only clean containers that are compatible with the chemical; never use food or drink bottles.</w:t>
      </w:r>
    </w:p>
    <w:p>
      <w:pPr>
        <w:pStyle w:val="ListeParagraf"/>
        <w:spacing w:after="80"/>
        <w:ind w:left="709" w:right="0"/>
        <w:jc w:val="both"/>
      </w:pPr>
      <w:r>
        <w:rPr>
          <w:rFonts w:ascii="Calibri" w:hAnsi="Calibri" w:cs="Arial"/>
          <w:sz w:val="24"/>
          <w:szCs w:val="24"/>
        </w:rPr>
        <w:t xml:space="preserve">2.3. Waste chemical containers are labelled as 'Hazardous Waste' with the content and date.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use any chemical from an unlabelled or illegibly labelled container; take it to the Chemical Manager.</w:t>
      </w:r>
    </w:p>
    <w:p>
      <w:pPr>
        <w:pStyle w:val="ListeParagraf"/>
        <w:numPr>
          <w:ilvl w:val="0"/>
          <w:numId w:val="1"/>
        </w:numPr>
        <w:spacing w:after="60"/>
        <w:jc w:val="both"/>
      </w:pPr>
      <w:r>
        <w:rPr>
          <w:rFonts w:ascii="Calibri" w:hAnsi="Calibri" w:cs="Arial"/>
          <w:sz w:val="24"/>
          <w:szCs w:val="24"/>
        </w:rPr>
        <w:t xml:space="preserve">Do not cover, remove or write over a label; replace damaged labels immediately.</w:t>
      </w:r>
    </w:p>
    <w:p>
      <w:pPr>
        <w:pStyle w:val="ListeParagraf"/>
        <w:numPr>
          <w:ilvl w:val="0"/>
          <w:numId w:val="1"/>
        </w:numPr>
        <w:spacing w:after="60"/>
        <w:jc w:val="both"/>
      </w:pPr>
      <w:r>
        <w:rPr>
          <w:rFonts w:ascii="Calibri" w:hAnsi="Calibri" w:cs="Arial"/>
          <w:sz w:val="24"/>
          <w:szCs w:val="24"/>
        </w:rPr>
        <w:t xml:space="preserve">Do not reuse an empty container for a different chemical without cleaning it and replacing the label.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An unlabelled container is isolated, marked 'Unknown – Do Not Use' and reported to the Chemical Manager, who identifies or disposes of it safely.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 Chemical Label Templates</w:t>
      </w:r>
    </w:p>
    <w:p>
      <w:pPr>
        <w:pStyle w:val="ListeParagraf"/>
        <w:numPr>
          <w:ilvl w:val="0"/>
          <w:numId w:val="1"/>
        </w:numPr>
        <w:spacing w:after="60"/>
        <w:jc w:val="both"/>
      </w:pPr>
      <w:r>
        <w:rPr>
          <w:rFonts w:ascii="Calibri" w:hAnsi="Calibri" w:cs="Arial"/>
          <w:sz w:val="24"/>
          <w:szCs w:val="24"/>
        </w:rPr>
        <w:t xml:space="preserve">Chemical Area Inspection Checklist</w:t>
      </w:r>
    </w:p>
    <w:p>
      <w:pPr>
        <w:pStyle w:val="ListeParagraf"/>
        <w:numPr>
          <w:ilvl w:val="0"/>
          <w:numId w:val="1"/>
        </w:numPr>
        <w:spacing w:after="60"/>
        <w:jc w:val="both"/>
      </w:pPr>
      <w:r>
        <w:rPr>
          <w:rFonts w:ascii="Calibri" w:hAnsi="Calibri" w:cs="Arial"/>
          <w:sz w:val="24"/>
          <w:szCs w:val="24"/>
        </w:rPr>
        <w:t xml:space="preserve">EMS.QA.PRO.02.02. Chemical Hazard Communication Procedure</w:t>
      </w:r>
    </w:p>
    <w:p>
      <w:pPr>
        <w:pStyle w:val="ListeParagraf"/>
        <w:numPr>
          <w:ilvl w:val="0"/>
          <w:numId w:val="1"/>
        </w:numPr>
        <w:spacing w:after="60"/>
        <w:jc w:val="both"/>
      </w:pPr>
      <w:r>
        <w:rPr>
          <w:rFonts w:ascii="Calibri" w:hAnsi="Calibri" w:cs="Arial"/>
          <w:sz w:val="24"/>
          <w:szCs w:val="24"/>
        </w:rPr>
        <w:t xml:space="preserve">EMS.KM.PRO.20.02. Chemical Risk Assessment and Safety Data Sheet Management Procedure</w:t>
      </w:r>
    </w:p>
    <w:p>
      <w:pPr>
        <w:pStyle w:val="ListeParagraf"/>
        <w:numPr>
          <w:ilvl w:val="0"/>
          <w:numId w:val="1"/>
        </w:numPr>
        <w:spacing w:after="60"/>
        <w:jc w:val="both"/>
      </w:pPr>
      <w:r>
        <w:rPr>
          <w:rFonts w:ascii="Calibri" w:hAnsi="Calibri" w:cs="Arial"/>
          <w:sz w:val="24"/>
          <w:szCs w:val="24"/>
        </w:rPr>
        <w:t xml:space="preserve">EMS.ÇV.TL.19.02. Hazardous Waste Temporary Storage Area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Labelling is checked in monthly chemical area inspections; findings are followed up by the Chemical Manager. This instruction is reviewed every year or when GHS or customer requirements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وسم جميع حاويات المواد الكيميائية في شركة إيروغلو للتريكو (EMS)، بحيث يتمكن كل شخص من التعرف على المادة الكيميائية ومخاطرها بنظرة واحدة، ولا تُستخدم أبدًا أي مادة كيميائية بدون ملصق.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الحاويات الأصلية من المورد، وحاويات النقل (الثانوية)، والخزانات اليومية، وخزانات الجرعات، وزجاجات الرش، وحاويات النفايات الكيميائية في جميع الأقسام.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يعد نماذج الملصقات القياسية ويتحقق من الوسم أثناء تفتيش المناطق.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المستودع:</w:t>
      </w:r>
      <w:r>
        <w:rPr>
          <w:rFonts w:ascii="Calibri" w:hAnsi="Calibri" w:cs="Arial"/>
          <w:rtl/>
          <w:sz w:val="24"/>
          <w:szCs w:val="24"/>
        </w:rPr>
        <w:t xml:space="preserve"> يتحقق من وسم الحاويات الأصلية بشكل صحيح عند الاستلام.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المستخدمون (المشغلون والفنيون وعمال النظافة):</w:t>
      </w:r>
      <w:r>
        <w:rPr>
          <w:rFonts w:ascii="Calibri" w:hAnsi="Calibri" w:cs="Arial"/>
          <w:rtl/>
          <w:sz w:val="24"/>
          <w:szCs w:val="24"/>
        </w:rPr>
        <w:t xml:space="preserve"> يضعون ملصقًا على كل حاوية يملؤونها ويبلغون عن الملصقات التالفة أو المفقودة.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استلام الحاويات الأصلية</w:t>
      </w:r>
    </w:p>
    <w:p>
      <w:pPr>
        <w:pStyle w:val="ListeParagraf"/>
        <w:bidi/>
        <w:spacing w:after="80"/>
        <w:ind w:left="0" w:right="709"/>
        <w:jc w:val="both"/>
      </w:pPr>
      <w:r>
        <w:rPr>
          <w:rFonts w:ascii="Calibri" w:hAnsi="Calibri" w:cs="Arial"/>
          <w:rtl/>
          <w:sz w:val="24"/>
          <w:szCs w:val="24"/>
        </w:rPr>
        <w:t xml:space="preserve">1.1. لا تقبل إلا الحاويات التي تحمل ملصق GHS من المورد ويظهر عليه اسم المنتج والرموز التحذيرية وكلمة التنبيه وعبارات الخطر والاحتياطات وبيانات المورد.</w:t>
      </w:r>
    </w:p>
    <w:p>
      <w:pPr>
        <w:pStyle w:val="ListeParagraf"/>
        <w:bidi/>
        <w:spacing w:after="80"/>
        <w:ind w:left="0" w:right="709"/>
        <w:jc w:val="both"/>
      </w:pPr>
      <w:r>
        <w:rPr>
          <w:rFonts w:ascii="Calibri" w:hAnsi="Calibri" w:cs="Arial"/>
          <w:rtl/>
          <w:sz w:val="24"/>
          <w:szCs w:val="24"/>
        </w:rPr>
        <w:t xml:space="preserve">1.2. أضف رمز EMS الكيميائي وتاريخ الاستلام؛ وإذا لم يكن ملصق المورد باللغة العربية فأضف بجانبه ملصق EMS باللغة العربية.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وسم الحاويات الثانوية</w:t>
      </w:r>
    </w:p>
    <w:p>
      <w:pPr>
        <w:pStyle w:val="ListeParagraf"/>
        <w:bidi/>
        <w:spacing w:after="80"/>
        <w:ind w:left="0" w:right="709"/>
        <w:jc w:val="both"/>
      </w:pPr>
      <w:r>
        <w:rPr>
          <w:rFonts w:ascii="Calibri" w:hAnsi="Calibri" w:cs="Arial"/>
          <w:rtl/>
          <w:sz w:val="24"/>
          <w:szCs w:val="24"/>
        </w:rPr>
        <w:t xml:space="preserve">2.1. قبل التعبئة، ضع على الحاوية ملصق EMS الثانوي الذي يبين:</w:t>
      </w:r>
    </w:p>
    <w:p>
      <w:pPr>
        <w:pStyle w:val="ListeParagraf"/>
        <w:numPr>
          <w:ilvl w:val="0"/>
          <w:numId w:val="1"/>
        </w:numPr>
        <w:bidi/>
        <w:spacing w:after="60"/>
        <w:jc w:val="both"/>
      </w:pPr>
      <w:r>
        <w:rPr>
          <w:rFonts w:ascii="Calibri" w:hAnsi="Calibri" w:cs="Arial"/>
          <w:rtl/>
          <w:sz w:val="24"/>
          <w:szCs w:val="24"/>
        </w:rPr>
        <w:t xml:space="preserve">اسم المادة الكيميائية ورمز EMS الكيميائي،</w:t>
      </w:r>
    </w:p>
    <w:p>
      <w:pPr>
        <w:pStyle w:val="ListeParagraf"/>
        <w:numPr>
          <w:ilvl w:val="0"/>
          <w:numId w:val="1"/>
        </w:numPr>
        <w:bidi/>
        <w:spacing w:after="60"/>
        <w:jc w:val="both"/>
      </w:pPr>
      <w:r>
        <w:rPr>
          <w:rFonts w:ascii="Calibri" w:hAnsi="Calibri" w:cs="Arial"/>
          <w:rtl/>
          <w:sz w:val="24"/>
          <w:szCs w:val="24"/>
        </w:rPr>
        <w:t xml:space="preserve">رموز GHS التحذيرية وكلمة التنبيه (خطر / تحذير)،</w:t>
      </w:r>
    </w:p>
    <w:p>
      <w:pPr>
        <w:pStyle w:val="ListeParagraf"/>
        <w:numPr>
          <w:ilvl w:val="0"/>
          <w:numId w:val="1"/>
        </w:numPr>
        <w:bidi/>
        <w:spacing w:after="60"/>
        <w:jc w:val="both"/>
      </w:pPr>
      <w:r>
        <w:rPr>
          <w:rFonts w:ascii="Calibri" w:hAnsi="Calibri" w:cs="Arial"/>
          <w:rtl/>
          <w:sz w:val="24"/>
          <w:szCs w:val="24"/>
        </w:rPr>
        <w:t xml:space="preserve">المخاطر الرئيسية ومعدات الوقاية المطلوبة،</w:t>
      </w:r>
    </w:p>
    <w:p>
      <w:pPr>
        <w:pStyle w:val="ListeParagraf"/>
        <w:numPr>
          <w:ilvl w:val="0"/>
          <w:numId w:val="1"/>
        </w:numPr>
        <w:bidi/>
        <w:spacing w:after="60"/>
        <w:jc w:val="both"/>
      </w:pPr>
      <w:r>
        <w:rPr>
          <w:rFonts w:ascii="Calibri" w:hAnsi="Calibri" w:cs="Arial"/>
          <w:rtl/>
          <w:sz w:val="24"/>
          <w:szCs w:val="24"/>
        </w:rPr>
        <w:t xml:space="preserve">تاريخ التعبئة واسم الشخص الذي قام بها.</w:t>
      </w:r>
    </w:p>
    <w:p>
      <w:pPr>
        <w:pStyle w:val="ListeParagraf"/>
        <w:bidi/>
        <w:spacing w:after="80"/>
        <w:ind w:left="0" w:right="709"/>
        <w:jc w:val="both"/>
      </w:pPr>
      <w:r>
        <w:rPr>
          <w:rFonts w:ascii="Calibri" w:hAnsi="Calibri" w:cs="Arial"/>
          <w:rtl/>
          <w:sz w:val="24"/>
          <w:szCs w:val="24"/>
        </w:rPr>
        <w:t xml:space="preserve">2.2. لا تستخدم إلا حاويات نظيفة ومتوافقة مع المادة الكيميائية؛ ولا تستخدم أبدًا زجاجات الطعام أو الشراب.</w:t>
      </w:r>
    </w:p>
    <w:p>
      <w:pPr>
        <w:pStyle w:val="ListeParagraf"/>
        <w:bidi/>
        <w:spacing w:after="80"/>
        <w:ind w:left="0" w:right="709"/>
        <w:jc w:val="both"/>
      </w:pPr>
      <w:r>
        <w:rPr>
          <w:rFonts w:ascii="Calibri" w:hAnsi="Calibri" w:cs="Arial"/>
          <w:rtl/>
          <w:sz w:val="24"/>
          <w:szCs w:val="24"/>
        </w:rPr>
        <w:t xml:space="preserve">2.3. تُوسم حاويات النفايات الكيميائية بعبارة «نفايات خطرة» مع المحتوى والتاريخ.</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أي مادة كيميائية من حاوية بدون ملصق أو بملصق غير مقروء؛ وسلّمها إلى مدير الكيماويات.</w:t>
      </w:r>
    </w:p>
    <w:p>
      <w:pPr>
        <w:pStyle w:val="ListeParagraf"/>
        <w:numPr>
          <w:ilvl w:val="0"/>
          <w:numId w:val="1"/>
        </w:numPr>
        <w:bidi/>
        <w:spacing w:after="60"/>
        <w:jc w:val="both"/>
      </w:pPr>
      <w:r>
        <w:rPr>
          <w:rFonts w:ascii="Calibri" w:hAnsi="Calibri" w:cs="Arial"/>
          <w:rtl/>
          <w:sz w:val="24"/>
          <w:szCs w:val="24"/>
        </w:rPr>
        <w:t xml:space="preserve">لا تغطِّ الملصق ولا تنزعه ولا تكتب فوقه؛ واستبدل الملصقات التالفة فورًا.</w:t>
      </w:r>
    </w:p>
    <w:p>
      <w:pPr>
        <w:pStyle w:val="ListeParagraf"/>
        <w:numPr>
          <w:ilvl w:val="0"/>
          <w:numId w:val="1"/>
        </w:numPr>
        <w:bidi/>
        <w:spacing w:after="60"/>
        <w:jc w:val="both"/>
      </w:pPr>
      <w:r>
        <w:rPr>
          <w:rFonts w:ascii="Calibri" w:hAnsi="Calibri" w:cs="Arial"/>
          <w:rtl/>
          <w:sz w:val="24"/>
          <w:szCs w:val="24"/>
        </w:rPr>
        <w:t xml:space="preserve">لا تُعد استخدام حاوية فارغة لمادة كيميائية مختلفة دون تنظيفها واستبدال ملصقها.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عند حدوث مشكلة</w:t>
      </w:r>
    </w:p>
    <w:p>
      <w:pPr>
        <w:pStyle w:val="ListeParagraf"/>
        <w:bidi/>
        <w:spacing w:after="80"/>
        <w:ind w:left="0" w:right="709"/>
        <w:jc w:val="both"/>
      </w:pPr>
      <w:r>
        <w:rPr>
          <w:rFonts w:ascii="Calibri" w:hAnsi="Calibri" w:cs="Arial"/>
          <w:rtl/>
          <w:sz w:val="24"/>
          <w:szCs w:val="24"/>
        </w:rPr>
        <w:t xml:space="preserve">4.1. تُعزل الحاوية غير الموسومة وتُعلّم بعبارة «مجهولة – لا تستخدم» ويُبلغ مدير الكيماويات الذي يتعرف عليها أو يتخلص منها بأمان.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ملصقات المواد الكيميائية الخاصة بـ EMS</w:t>
      </w:r>
    </w:p>
    <w:p>
      <w:pPr>
        <w:pStyle w:val="ListeParagraf"/>
        <w:numPr>
          <w:ilvl w:val="0"/>
          <w:numId w:val="1"/>
        </w:numPr>
        <w:bidi/>
        <w:spacing w:after="60"/>
        <w:jc w:val="both"/>
      </w:pPr>
      <w:r>
        <w:rPr>
          <w:rFonts w:ascii="Calibri" w:hAnsi="Calibri" w:cs="Arial"/>
          <w:rtl/>
          <w:sz w:val="24"/>
          <w:szCs w:val="24"/>
        </w:rPr>
        <w:t xml:space="preserve">قائمة تفتيش مناطق المواد الكيميائية</w:t>
      </w:r>
    </w:p>
    <w:p>
      <w:pPr>
        <w:pStyle w:val="ListeParagraf"/>
        <w:numPr>
          <w:ilvl w:val="0"/>
          <w:numId w:val="1"/>
        </w:numPr>
        <w:bidi/>
        <w:spacing w:after="60"/>
        <w:jc w:val="both"/>
      </w:pPr>
      <w:r>
        <w:rPr>
          <w:rFonts w:ascii="Calibri" w:hAnsi="Calibri" w:cs="Arial"/>
          <w:rtl/>
          <w:sz w:val="24"/>
          <w:szCs w:val="24"/>
        </w:rPr>
        <w:t xml:space="preserve">EMS.QA.PRO.02.02. إجراء الإبلاغ عن المخاطر الكيميائية</w:t>
      </w:r>
    </w:p>
    <w:p>
      <w:pPr>
        <w:pStyle w:val="ListeParagraf"/>
        <w:numPr>
          <w:ilvl w:val="0"/>
          <w:numId w:val="1"/>
        </w:numPr>
        <w:bidi/>
        <w:spacing w:after="60"/>
        <w:jc w:val="both"/>
      </w:pPr>
      <w:r>
        <w:rPr>
          <w:rFonts w:ascii="Calibri" w:hAnsi="Calibri" w:cs="Arial"/>
          <w:rtl/>
          <w:sz w:val="24"/>
          <w:szCs w:val="24"/>
        </w:rPr>
        <w:t xml:space="preserve">EMS.KM.PRO.20.02. إجراء تقييم المخاطر الكيميائية وإدارة صحائف بيانات السلامة</w:t>
      </w:r>
    </w:p>
    <w:p>
      <w:pPr>
        <w:pStyle w:val="ListeParagraf"/>
        <w:numPr>
          <w:ilvl w:val="0"/>
          <w:numId w:val="1"/>
        </w:numPr>
        <w:bidi/>
        <w:spacing w:after="60"/>
        <w:jc w:val="both"/>
      </w:pPr>
      <w:r>
        <w:rPr>
          <w:rFonts w:ascii="Calibri" w:hAnsi="Calibri" w:cs="Arial"/>
          <w:rtl/>
          <w:sz w:val="24"/>
          <w:szCs w:val="24"/>
        </w:rPr>
        <w:t xml:space="preserve">EMS.ÇV.TL.19.02. تعليمات منطقة التخزين المؤقت للنفايات الخطرة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يُفحص الوسم خلال التفتيش الشهري لمناطق المواد الكيميائية، ويتابع مدير الكيماويات الملاحظات. وتُراجع هذه التعليمات سنويًا أو عند تغير متطلبات GHS أو العملاء.</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CONTAINER LABELLING INSTRUCTION</w:t>
          </w:r>
        </w:p>
        <w:p>
          <w:pPr>
            <w:pStyle w:val="GvdeMetni2"/>
            <w:bidi/>
            <w:spacing w:line="276" w:lineRule="auto"/>
            <w:jc w:val="center"/>
          </w:pPr>
          <w:r>
            <w:rPr>
              <w:rFonts w:asciiTheme="minorHAnsi" w:hAnsiTheme="minorHAnsi" w:cs="Arial"/>
              <w:b/>
              <w:bCs/>
              <w:color w:val="000000" w:themeColor="text1"/>
              <w:sz w:val="22"/>
              <w:szCs w:val="22"/>
              <w:rtl/>
            </w:rPr>
            <w:t>تعليمات وسم حاويات المواد الكيميائية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EMS.KM.TL.20.02.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EMS.KM.TL.20.02. CHEMICAL CONTAINER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