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explains how employees of Eroglu Knitting (EMS) choose and use portable fire extinguishers safely and correctly to put out a small fire at its start, and how extinguishers are kept ready for use.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portable fire extinguishers (dry powder, CO2, foam and water types) in all production areas, warehouses, the boiler room, the chemical store, offices and the canteen of EMS, and to all employees, especially civil defence team members.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HSE Manager:</w:t>
      </w:r>
      <w:r>
        <w:rPr>
          <w:rFonts w:ascii="Calibri" w:hAnsi="Calibri" w:cs="Arial"/>
          <w:sz w:val="24"/>
          <w:szCs w:val="24"/>
        </w:rPr>
        <w:t xml:space="preserve"> Ensures that suitable extinguishers are placed, inspected monthly and serviced by an authorised company, and that employees receive practical training.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Civil Defence Team Members:</w:t>
      </w:r>
      <w:r>
        <w:rPr>
          <w:rFonts w:ascii="Calibri" w:hAnsi="Calibri" w:cs="Arial"/>
          <w:sz w:val="24"/>
          <w:szCs w:val="24"/>
        </w:rPr>
        <w:t xml:space="preserve"> Respond first to a fire in their area and carry out the monthly visual checks.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Supervisors:</w:t>
      </w:r>
      <w:r>
        <w:rPr>
          <w:rFonts w:ascii="Calibri" w:hAnsi="Calibri" w:cs="Arial"/>
          <w:sz w:val="24"/>
          <w:szCs w:val="24"/>
        </w:rPr>
        <w:t xml:space="preserve"> Keep access to extinguishers free at all times and report any used, missing or damaged extinguisher.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All Employees:</w:t>
      </w:r>
      <w:r>
        <w:rPr>
          <w:rFonts w:ascii="Calibri" w:hAnsi="Calibri" w:cs="Arial"/>
          <w:sz w:val="24"/>
          <w:szCs w:val="24"/>
        </w:rPr>
        <w:t xml:space="preserve"> Know the location of the nearest extinguisher and use it only if it is safe to do so.</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PASS:</w:t>
      </w:r>
      <w:r>
        <w:rPr>
          <w:rFonts w:ascii="Calibri" w:hAnsi="Calibri" w:cs="Arial"/>
          <w:sz w:val="24"/>
          <w:szCs w:val="24"/>
        </w:rPr>
        <w:t xml:space="preserve"> The four steps for using an extinguisher: Pull, Aim, Squeeze, Sweep.</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Class A / B / C fire:</w:t>
      </w:r>
      <w:r>
        <w:rPr>
          <w:rFonts w:ascii="Calibri" w:hAnsi="Calibri" w:cs="Arial"/>
          <w:sz w:val="24"/>
          <w:szCs w:val="24"/>
        </w:rPr>
        <w:t xml:space="preserve"> Fire of solid materials (fabric, yarn, paper, lint) / flammable liquids / gases; electrical fires need a non-conductive agent (CO2 or dry powder).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Raise the alarm: shout "Fire!", press the nearest manual call point and inform the shift supervisor or security.</w:t>
      </w:r>
    </w:p>
    <w:p>
      <w:pPr>
        <w:pStyle w:val="ListeParagraf"/>
        <w:spacing w:after="80"/>
        <w:ind w:left="709" w:right="0"/>
        <w:jc w:val="both"/>
      </w:pPr>
      <w:r>
        <w:rPr>
          <w:rFonts w:ascii="Calibri" w:hAnsi="Calibri" w:cs="Arial"/>
          <w:sz w:val="24"/>
          <w:szCs w:val="24"/>
        </w:rPr>
        <w:t xml:space="preserve">1.2. If it is possible and safe, cut off the power and stop the machines in the area.</w:t>
      </w:r>
    </w:p>
    <w:p>
      <w:pPr>
        <w:pStyle w:val="ListeParagraf"/>
        <w:spacing w:after="80"/>
        <w:ind w:left="709" w:right="0"/>
        <w:jc w:val="both"/>
      </w:pPr>
      <w:r>
        <w:rPr>
          <w:rFonts w:ascii="Calibri" w:hAnsi="Calibri" w:cs="Arial"/>
          <w:sz w:val="24"/>
          <w:szCs w:val="24"/>
        </w:rPr>
        <w:t xml:space="preserve">1.3. Choose the right extinguisher: dry powder (ABC) for fabric, yarn, paper and lint fires; CO2 for electrical panels and machines; foam for flammable liquids such as solvents and fuel. Read the label before use.</w:t>
      </w:r>
    </w:p>
    <w:p>
      <w:pPr>
        <w:pStyle w:val="ListeParagraf"/>
        <w:spacing w:after="80"/>
        <w:ind w:left="709" w:right="0"/>
        <w:jc w:val="both"/>
      </w:pPr>
      <w:r>
        <w:rPr>
          <w:rFonts w:ascii="Calibri" w:hAnsi="Calibri" w:cs="Arial"/>
          <w:sz w:val="24"/>
          <w:szCs w:val="24"/>
        </w:rPr>
        <w:t xml:space="preserve">1.4. Check that the pressure gauge needle is in the green zone and that the safety pin and seal are in place.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OPERATION</w:t>
      </w:r>
    </w:p>
    <w:p>
      <w:pPr>
        <w:pStyle w:val="ListeParagraf"/>
        <w:spacing w:after="80"/>
        <w:ind w:left="709" w:right="0"/>
        <w:jc w:val="both"/>
      </w:pPr>
      <w:r>
        <w:rPr>
          <w:rFonts w:ascii="Calibri" w:hAnsi="Calibri" w:cs="Arial"/>
          <w:sz w:val="24"/>
          <w:szCs w:val="24"/>
        </w:rPr>
        <w:t xml:space="preserve">2.1. Use the extinguisher according to the PASS method:</w:t>
      </w:r>
    </w:p>
    <w:p>
      <w:pPr>
        <w:pStyle w:val="ListeParagraf"/>
        <w:numPr>
          <w:ilvl w:val="0"/>
          <w:numId w:val="1"/>
        </w:numPr>
        <w:spacing w:after="60"/>
        <w:jc w:val="both"/>
      </w:pPr>
      <w:r>
        <w:rPr>
          <w:rFonts w:ascii="Calibri" w:hAnsi="Calibri" w:cs="Arial"/>
          <w:b/>
          <w:bCs/>
          <w:sz w:val="24"/>
          <w:szCs w:val="24"/>
        </w:rPr>
        <w:t xml:space="preserve">P - Pull:</w:t>
      </w:r>
      <w:r>
        <w:rPr>
          <w:rFonts w:ascii="Calibri" w:hAnsi="Calibri" w:cs="Arial"/>
          <w:sz w:val="24"/>
          <w:szCs w:val="24"/>
        </w:rPr>
        <w:t xml:space="preserve"> Pull out the safety pin, holding the extinguisher upright.</w:t>
      </w:r>
    </w:p>
    <w:p>
      <w:pPr>
        <w:pStyle w:val="ListeParagraf"/>
        <w:numPr>
          <w:ilvl w:val="0"/>
          <w:numId w:val="1"/>
        </w:numPr>
        <w:spacing w:after="60"/>
        <w:jc w:val="both"/>
      </w:pPr>
      <w:r>
        <w:rPr>
          <w:rFonts w:ascii="Calibri" w:hAnsi="Calibri" w:cs="Arial"/>
          <w:b/>
          <w:bCs/>
          <w:sz w:val="24"/>
          <w:szCs w:val="24"/>
        </w:rPr>
        <w:t xml:space="preserve">A - Aim:</w:t>
      </w:r>
      <w:r>
        <w:rPr>
          <w:rFonts w:ascii="Calibri" w:hAnsi="Calibri" w:cs="Arial"/>
          <w:sz w:val="24"/>
          <w:szCs w:val="24"/>
        </w:rPr>
        <w:t xml:space="preserve"> Aim the nozzle or horn at the base of the fire, not at the flames, standing 2-3 metres away.</w:t>
      </w:r>
    </w:p>
    <w:p>
      <w:pPr>
        <w:pStyle w:val="ListeParagraf"/>
        <w:numPr>
          <w:ilvl w:val="0"/>
          <w:numId w:val="1"/>
        </w:numPr>
        <w:spacing w:after="60"/>
        <w:jc w:val="both"/>
      </w:pPr>
      <w:r>
        <w:rPr>
          <w:rFonts w:ascii="Calibri" w:hAnsi="Calibri" w:cs="Arial"/>
          <w:b/>
          <w:bCs/>
          <w:sz w:val="24"/>
          <w:szCs w:val="24"/>
        </w:rPr>
        <w:t xml:space="preserve">S - Squeeze:</w:t>
      </w:r>
      <w:r>
        <w:rPr>
          <w:rFonts w:ascii="Calibri" w:hAnsi="Calibri" w:cs="Arial"/>
          <w:sz w:val="24"/>
          <w:szCs w:val="24"/>
        </w:rPr>
        <w:t xml:space="preserve"> Squeeze the operating lever firmly.</w:t>
      </w:r>
    </w:p>
    <w:p>
      <w:pPr>
        <w:pStyle w:val="ListeParagraf"/>
        <w:numPr>
          <w:ilvl w:val="0"/>
          <w:numId w:val="1"/>
        </w:numPr>
        <w:spacing w:after="60"/>
        <w:jc w:val="both"/>
      </w:pPr>
      <w:r>
        <w:rPr>
          <w:rFonts w:ascii="Calibri" w:hAnsi="Calibri" w:cs="Arial"/>
          <w:b/>
          <w:bCs/>
          <w:sz w:val="24"/>
          <w:szCs w:val="24"/>
        </w:rPr>
        <w:t xml:space="preserve">S - Sweep:</w:t>
      </w:r>
      <w:r>
        <w:rPr>
          <w:rFonts w:ascii="Calibri" w:hAnsi="Calibri" w:cs="Arial"/>
          <w:sz w:val="24"/>
          <w:szCs w:val="24"/>
        </w:rPr>
        <w:t xml:space="preserve"> Sweep the nozzle from side to side across the base of the fire until it is out.</w:t>
      </w:r>
    </w:p>
    <w:p>
      <w:pPr>
        <w:pStyle w:val="ListeParagraf"/>
        <w:spacing w:after="80"/>
        <w:ind w:left="709" w:right="0"/>
        <w:jc w:val="both"/>
      </w:pPr>
      <w:r>
        <w:rPr>
          <w:rFonts w:ascii="Calibri" w:hAnsi="Calibri" w:cs="Arial"/>
          <w:sz w:val="24"/>
          <w:szCs w:val="24"/>
        </w:rPr>
        <w:t xml:space="preserve">2.2. Approach the fire with the airflow behind you; outdoors, stand upwind.</w:t>
      </w:r>
    </w:p>
    <w:p>
      <w:pPr>
        <w:pStyle w:val="ListeParagraf"/>
        <w:spacing w:after="80"/>
        <w:ind w:left="709" w:right="0"/>
        <w:jc w:val="both"/>
      </w:pPr>
      <w:r>
        <w:rPr>
          <w:rFonts w:ascii="Calibri" w:hAnsi="Calibri" w:cs="Arial"/>
          <w:sz w:val="24"/>
          <w:szCs w:val="24"/>
        </w:rPr>
        <w:t xml:space="preserve">2.3. After the fire is out, watch the area for re-ignition; lint and cotton fires can smoulder inside piles and machines.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SAFETY RULES / PROHIBITIONS</w:t>
      </w:r>
    </w:p>
    <w:p>
      <w:pPr>
        <w:pStyle w:val="ListeParagraf"/>
        <w:numPr>
          <w:ilvl w:val="0"/>
          <w:numId w:val="1"/>
        </w:numPr>
        <w:spacing w:after="60"/>
        <w:jc w:val="both"/>
      </w:pPr>
      <w:r>
        <w:rPr>
          <w:rFonts w:ascii="Calibri" w:hAnsi="Calibri" w:cs="Arial"/>
          <w:sz w:val="24"/>
          <w:szCs w:val="24"/>
        </w:rPr>
        <w:t xml:space="preserve">Do not fight a fire unless it is small, the alarm has been raised and you have a clear escape route behind you.</w:t>
      </w:r>
    </w:p>
    <w:p>
      <w:pPr>
        <w:pStyle w:val="ListeParagraf"/>
        <w:numPr>
          <w:ilvl w:val="0"/>
          <w:numId w:val="1"/>
        </w:numPr>
        <w:spacing w:after="60"/>
        <w:jc w:val="both"/>
      </w:pPr>
      <w:r>
        <w:rPr>
          <w:rFonts w:ascii="Calibri" w:hAnsi="Calibri" w:cs="Arial"/>
          <w:sz w:val="24"/>
          <w:szCs w:val="24"/>
        </w:rPr>
        <w:t xml:space="preserve">Do not use water or foam extinguishers on electrical panels or live equipment.</w:t>
      </w:r>
    </w:p>
    <w:p>
      <w:pPr>
        <w:pStyle w:val="ListeParagraf"/>
        <w:numPr>
          <w:ilvl w:val="0"/>
          <w:numId w:val="1"/>
        </w:numPr>
        <w:spacing w:after="60"/>
        <w:jc w:val="both"/>
      </w:pPr>
      <w:r>
        <w:rPr>
          <w:rFonts w:ascii="Calibri" w:hAnsi="Calibri" w:cs="Arial"/>
          <w:sz w:val="24"/>
          <w:szCs w:val="24"/>
        </w:rPr>
        <w:t xml:space="preserve">Do not hold the horn of a CO2 extinguisher with bare hands; it becomes extremely cold and can cause frostbite.</w:t>
      </w:r>
    </w:p>
    <w:p>
      <w:pPr>
        <w:pStyle w:val="ListeParagraf"/>
        <w:numPr>
          <w:ilvl w:val="0"/>
          <w:numId w:val="1"/>
        </w:numPr>
        <w:spacing w:after="60"/>
        <w:jc w:val="both"/>
      </w:pPr>
      <w:r>
        <w:rPr>
          <w:rFonts w:ascii="Calibri" w:hAnsi="Calibri" w:cs="Arial"/>
          <w:sz w:val="24"/>
          <w:szCs w:val="24"/>
        </w:rPr>
        <w:t xml:space="preserve">Do not enter a room full of smoke and do not turn your back to the fire while retreating.</w:t>
      </w:r>
    </w:p>
    <w:p>
      <w:pPr>
        <w:pStyle w:val="ListeParagraf"/>
        <w:numPr>
          <w:ilvl w:val="0"/>
          <w:numId w:val="1"/>
        </w:numPr>
        <w:spacing w:after="60"/>
        <w:jc w:val="both"/>
      </w:pPr>
      <w:r>
        <w:rPr>
          <w:rFonts w:ascii="Calibri" w:hAnsi="Calibri" w:cs="Arial"/>
          <w:sz w:val="24"/>
          <w:szCs w:val="24"/>
        </w:rPr>
        <w:t xml:space="preserve">Do not block, move or hang anything on extinguishers, and do not return a used extinguisher to its place.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PROBLEM / EMERGENCY</w:t>
      </w:r>
    </w:p>
    <w:p>
      <w:pPr>
        <w:pStyle w:val="ListeParagraf"/>
        <w:spacing w:after="80"/>
        <w:ind w:left="709" w:right="0"/>
        <w:jc w:val="both"/>
      </w:pPr>
      <w:r>
        <w:rPr>
          <w:rFonts w:ascii="Calibri" w:hAnsi="Calibri" w:cs="Arial"/>
          <w:sz w:val="24"/>
          <w:szCs w:val="24"/>
        </w:rPr>
        <w:t xml:space="preserve">4.1. If the extinguisher does not work or the fire does not get smaller after one extinguisher, step back, close the doors behind you and evacuate to the assembly point.</w:t>
      </w:r>
    </w:p>
    <w:p>
      <w:pPr>
        <w:pStyle w:val="ListeParagraf"/>
        <w:spacing w:after="80"/>
        <w:ind w:left="709" w:right="0"/>
        <w:jc w:val="both"/>
      </w:pPr>
      <w:r>
        <w:rPr>
          <w:rFonts w:ascii="Calibri" w:hAnsi="Calibri" w:cs="Arial"/>
          <w:sz w:val="24"/>
          <w:szCs w:val="24"/>
        </w:rPr>
        <w:t xml:space="preserve">4.2. Leave the fire to the civil defence team and the fire brigade; report any injury immediately to the first aid team and the clinic.</w:t>
      </w:r>
    </w:p>
    <w:p>
      <w:pPr>
        <w:pStyle w:val="ListeParagraf"/>
        <w:spacing w:after="80"/>
        <w:ind w:left="709" w:right="0"/>
        <w:jc w:val="both"/>
      </w:pPr>
      <w:r>
        <w:rPr>
          <w:rFonts w:ascii="Calibri" w:hAnsi="Calibri" w:cs="Arial"/>
          <w:sz w:val="24"/>
          <w:szCs w:val="24"/>
        </w:rPr>
        <w:t xml:space="preserve">4.3. Report every used extinguisher to the HSE department; it is replaced with a spare at once and sent for refilling. Record the event on the Fire Incident Report, even if the fire was very small.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Fire Extinguisher Location Plan and Monthly Inspection Checklist / Tags</w:t>
      </w:r>
    </w:p>
    <w:p>
      <w:pPr>
        <w:pStyle w:val="ListeParagraf"/>
        <w:numPr>
          <w:ilvl w:val="0"/>
          <w:numId w:val="1"/>
        </w:numPr>
        <w:spacing w:after="60"/>
        <w:jc w:val="both"/>
      </w:pPr>
      <w:r>
        <w:rPr>
          <w:rFonts w:ascii="Calibri" w:hAnsi="Calibri" w:cs="Arial"/>
          <w:sz w:val="24"/>
          <w:szCs w:val="24"/>
        </w:rPr>
        <w:t xml:space="preserve">Fire Incident Report</w:t>
      </w:r>
    </w:p>
    <w:p>
      <w:pPr>
        <w:pStyle w:val="ListeParagraf"/>
        <w:numPr>
          <w:ilvl w:val="0"/>
          <w:numId w:val="1"/>
        </w:numPr>
        <w:spacing w:after="60"/>
        <w:jc w:val="both"/>
      </w:pPr>
      <w:r>
        <w:rPr>
          <w:rFonts w:ascii="Calibri" w:hAnsi="Calibri" w:cs="Arial"/>
          <w:sz w:val="24"/>
          <w:szCs w:val="24"/>
        </w:rPr>
        <w:t xml:space="preserve">EMS.SS.PRO.10.01. Fire Prevention and Firefighting Equipment Control Procedure</w:t>
      </w:r>
    </w:p>
    <w:p>
      <w:pPr>
        <w:pStyle w:val="ListeParagraf"/>
        <w:numPr>
          <w:ilvl w:val="0"/>
          <w:numId w:val="1"/>
        </w:numPr>
        <w:spacing w:after="60"/>
        <w:jc w:val="both"/>
      </w:pPr>
      <w:r>
        <w:rPr>
          <w:rFonts w:ascii="Calibri" w:hAnsi="Calibri" w:cs="Arial"/>
          <w:sz w:val="24"/>
          <w:szCs w:val="24"/>
        </w:rPr>
        <w:t xml:space="preserve">EMS.SS.PRO.10.02. Evacuation Drills and Civil Defence Team Procedure</w:t>
      </w:r>
    </w:p>
    <w:p>
      <w:pPr>
        <w:pStyle w:val="ListeParagraf"/>
        <w:numPr>
          <w:ilvl w:val="0"/>
          <w:numId w:val="1"/>
        </w:numPr>
        <w:spacing w:after="60"/>
        <w:jc w:val="both"/>
      </w:pPr>
      <w:r>
        <w:rPr>
          <w:rFonts w:ascii="Calibri" w:hAnsi="Calibri" w:cs="Arial"/>
          <w:sz w:val="24"/>
          <w:szCs w:val="24"/>
        </w:rPr>
        <w:t xml:space="preserve">EMS OHS SP16 Emergency Response Plan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The completion rate of monthly extinguisher checks, the number of employees given practical training and the number of fire incidents are reported to the OHS committee. This instruction is reviewed every year by the HSE Manager and after any fire or drill finding.</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تشرح هذه التعليمات كيفية اختيار موظفي شركة إيروغلو للتريكو (EMS) لطفايات الحريق المحمولة واستخدامها بأمان وبشكل صحيح لإخماد الحريق الصغير في بدايته، وكيفية الحفاظ على جاهزية الطفايات للاستخدام.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طفايات الحريق المحمولة (البودرة الجافة وثاني أكسيد الكربون CO2 والرغوة والماء) في جميع مناطق الإنتاج والمستودعات وغرفة الغلايات ومخزن الكيماويات والمكاتب والمقصف في EMS، وعلى جميع الموظفين، ولا سيما أعضاء فريق الدفاع المدني.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الصحة والسلامة والبيئة (HSE):</w:t>
      </w:r>
      <w:r>
        <w:rPr>
          <w:rFonts w:ascii="Calibri" w:hAnsi="Calibri" w:cs="Arial"/>
          <w:rtl/>
          <w:sz w:val="24"/>
          <w:szCs w:val="24"/>
        </w:rPr>
        <w:t xml:space="preserve"> يضمن توزيع الطفايات المناسبة وفحصها شهريًا وصيانتها من قبل شركة معتمدة، وحصول الموظفين على تدريب عملي.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أعضاء فريق الدفاع المدني:</w:t>
      </w:r>
      <w:r>
        <w:rPr>
          <w:rFonts w:ascii="Calibri" w:hAnsi="Calibri" w:cs="Arial"/>
          <w:rtl/>
          <w:sz w:val="24"/>
          <w:szCs w:val="24"/>
        </w:rPr>
        <w:t xml:space="preserve"> يستجيبون أولًا للحريق في منطقتهم ويُجرون الفحوصات البصرية الشهرية.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الأقسام:</w:t>
      </w:r>
      <w:r>
        <w:rPr>
          <w:rFonts w:ascii="Calibri" w:hAnsi="Calibri" w:cs="Arial"/>
          <w:rtl/>
          <w:sz w:val="24"/>
          <w:szCs w:val="24"/>
        </w:rPr>
        <w:t xml:space="preserve"> يحافظون على الوصول إلى الطفايات خاليًا من العوائق في جميع الأوقات، ويبلغون عن أي طفاية مستخدمة أو مفقودة أو تالفة.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جميع الموظفين:</w:t>
      </w:r>
      <w:r>
        <w:rPr>
          <w:rFonts w:ascii="Calibri" w:hAnsi="Calibri" w:cs="Arial"/>
          <w:rtl/>
          <w:sz w:val="24"/>
          <w:szCs w:val="24"/>
        </w:rPr>
        <w:t xml:space="preserve"> يعرفون مكان أقرب طفاية، ولا يستخدمونها إلا إذا كان ذلك آمنًا.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PASS:</w:t>
      </w:r>
      <w:r>
        <w:rPr>
          <w:rFonts w:ascii="Calibri" w:hAnsi="Calibri" w:cs="Arial"/>
          <w:rtl/>
          <w:sz w:val="24"/>
          <w:szCs w:val="24"/>
        </w:rPr>
        <w:t xml:space="preserve"> الخطوات الأربع لاستخدام الطفاية: اسحب، صوّب، اضغط، حرّك.</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حريق الفئة A / B / C:</w:t>
      </w:r>
      <w:r>
        <w:rPr>
          <w:rFonts w:ascii="Calibri" w:hAnsi="Calibri" w:cs="Arial"/>
          <w:rtl/>
          <w:sz w:val="24"/>
          <w:szCs w:val="24"/>
        </w:rPr>
        <w:t xml:space="preserve"> حريق المواد الصلبة (الأقمشة والغزل والورق والوبر) / السوائل القابلة للاشتعال / الغازات؛ وتحتاج الحرائق الكهربائية إلى مادة إطفاء غير موصلة (CO2 أو البودرة الجافة).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أطلق الإنذار: اصرخ «حريق!»، واضغط على أقرب نقطة إنذار يدوية، وأبلغ مشرف الوردية أو الأمن.</w:t>
      </w:r>
    </w:p>
    <w:p>
      <w:pPr>
        <w:pStyle w:val="ListeParagraf"/>
        <w:bidi/>
        <w:spacing w:after="80"/>
        <w:ind w:left="0" w:right="709"/>
        <w:jc w:val="both"/>
      </w:pPr>
      <w:r>
        <w:rPr>
          <w:rFonts w:ascii="Calibri" w:hAnsi="Calibri" w:cs="Arial"/>
          <w:rtl/>
          <w:sz w:val="24"/>
          <w:szCs w:val="24"/>
        </w:rPr>
        <w:t xml:space="preserve">1.2. إذا كان ذلك ممكنًا وآمنًا، افصل التيار الكهربائي وأوقف الآلات في المنطقة.</w:t>
      </w:r>
    </w:p>
    <w:p>
      <w:pPr>
        <w:pStyle w:val="ListeParagraf"/>
        <w:bidi/>
        <w:spacing w:after="80"/>
        <w:ind w:left="0" w:right="709"/>
        <w:jc w:val="both"/>
      </w:pPr>
      <w:r>
        <w:rPr>
          <w:rFonts w:ascii="Calibri" w:hAnsi="Calibri" w:cs="Arial"/>
          <w:rtl/>
          <w:sz w:val="24"/>
          <w:szCs w:val="24"/>
        </w:rPr>
        <w:t xml:space="preserve">1.3. اختر الطفاية المناسبة: البودرة الجافة (ABC) لحرائق الأقمشة والغزل والورق والوبر؛ وCO2 للوحات الكهربائية والآلات؛ والرغوة للسوائل القابلة للاشتعال مثل المذيبات والوقود. اقرأ الملصق قبل الاستخدام.</w:t>
      </w:r>
    </w:p>
    <w:p>
      <w:pPr>
        <w:pStyle w:val="ListeParagraf"/>
        <w:bidi/>
        <w:spacing w:after="80"/>
        <w:ind w:left="0" w:right="709"/>
        <w:jc w:val="both"/>
      </w:pPr>
      <w:r>
        <w:rPr>
          <w:rFonts w:ascii="Calibri" w:hAnsi="Calibri" w:cs="Arial"/>
          <w:rtl/>
          <w:sz w:val="24"/>
          <w:szCs w:val="24"/>
        </w:rPr>
        <w:t xml:space="preserve">1.4. تحقق من أن مؤشر عداد الضغط في المنطقة الخضراء وأن مسمار الأمان والختم في مكانهما.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التشغيل</w:t>
      </w:r>
    </w:p>
    <w:p>
      <w:pPr>
        <w:pStyle w:val="ListeParagraf"/>
        <w:bidi/>
        <w:spacing w:after="80"/>
        <w:ind w:left="0" w:right="709"/>
        <w:jc w:val="both"/>
      </w:pPr>
      <w:r>
        <w:rPr>
          <w:rFonts w:ascii="Calibri" w:hAnsi="Calibri" w:cs="Arial"/>
          <w:rtl/>
          <w:sz w:val="24"/>
          <w:szCs w:val="24"/>
        </w:rPr>
        <w:t xml:space="preserve">2.1. استخدم الطفاية وفق طريقة PASS:</w:t>
      </w:r>
    </w:p>
    <w:p>
      <w:pPr>
        <w:pStyle w:val="ListeParagraf"/>
        <w:numPr>
          <w:ilvl w:val="0"/>
          <w:numId w:val="1"/>
        </w:numPr>
        <w:bidi/>
        <w:spacing w:after="60"/>
        <w:jc w:val="both"/>
      </w:pPr>
      <w:r>
        <w:rPr>
          <w:rFonts w:ascii="Calibri" w:hAnsi="Calibri" w:cs="Arial"/>
          <w:b/>
          <w:bCs/>
          <w:rtl/>
          <w:sz w:val="24"/>
          <w:szCs w:val="24"/>
        </w:rPr>
        <w:t xml:space="preserve">P - اسحب:</w:t>
      </w:r>
      <w:r>
        <w:rPr>
          <w:rFonts w:ascii="Calibri" w:hAnsi="Calibri" w:cs="Arial"/>
          <w:rtl/>
          <w:sz w:val="24"/>
          <w:szCs w:val="24"/>
        </w:rPr>
        <w:t xml:space="preserve"> اسحب مسمار الأمان مع إبقاء الطفاية في وضع قائم.</w:t>
      </w:r>
    </w:p>
    <w:p>
      <w:pPr>
        <w:pStyle w:val="ListeParagraf"/>
        <w:numPr>
          <w:ilvl w:val="0"/>
          <w:numId w:val="1"/>
        </w:numPr>
        <w:bidi/>
        <w:spacing w:after="60"/>
        <w:jc w:val="both"/>
      </w:pPr>
      <w:r>
        <w:rPr>
          <w:rFonts w:ascii="Calibri" w:hAnsi="Calibri" w:cs="Arial"/>
          <w:b/>
          <w:bCs/>
          <w:rtl/>
          <w:sz w:val="24"/>
          <w:szCs w:val="24"/>
        </w:rPr>
        <w:t xml:space="preserve">A - صوّب:</w:t>
      </w:r>
      <w:r>
        <w:rPr>
          <w:rFonts w:ascii="Calibri" w:hAnsi="Calibri" w:cs="Arial"/>
          <w:rtl/>
          <w:sz w:val="24"/>
          <w:szCs w:val="24"/>
        </w:rPr>
        <w:t xml:space="preserve"> صوّب الفوهة أو البوق نحو قاعدة النار وليس نحو اللهب، على بعد 2-3 أمتار.</w:t>
      </w:r>
    </w:p>
    <w:p>
      <w:pPr>
        <w:pStyle w:val="ListeParagraf"/>
        <w:numPr>
          <w:ilvl w:val="0"/>
          <w:numId w:val="1"/>
        </w:numPr>
        <w:bidi/>
        <w:spacing w:after="60"/>
        <w:jc w:val="both"/>
      </w:pPr>
      <w:r>
        <w:rPr>
          <w:rFonts w:ascii="Calibri" w:hAnsi="Calibri" w:cs="Arial"/>
          <w:b/>
          <w:bCs/>
          <w:rtl/>
          <w:sz w:val="24"/>
          <w:szCs w:val="24"/>
        </w:rPr>
        <w:t xml:space="preserve">S - اضغط:</w:t>
      </w:r>
      <w:r>
        <w:rPr>
          <w:rFonts w:ascii="Calibri" w:hAnsi="Calibri" w:cs="Arial"/>
          <w:rtl/>
          <w:sz w:val="24"/>
          <w:szCs w:val="24"/>
        </w:rPr>
        <w:t xml:space="preserve"> اضغط على ذراع التشغيل بقوة.</w:t>
      </w:r>
    </w:p>
    <w:p>
      <w:pPr>
        <w:pStyle w:val="ListeParagraf"/>
        <w:numPr>
          <w:ilvl w:val="0"/>
          <w:numId w:val="1"/>
        </w:numPr>
        <w:bidi/>
        <w:spacing w:after="60"/>
        <w:jc w:val="both"/>
      </w:pPr>
      <w:r>
        <w:rPr>
          <w:rFonts w:ascii="Calibri" w:hAnsi="Calibri" w:cs="Arial"/>
          <w:b/>
          <w:bCs/>
          <w:rtl/>
          <w:sz w:val="24"/>
          <w:szCs w:val="24"/>
        </w:rPr>
        <w:t xml:space="preserve">S - حرّك:</w:t>
      </w:r>
      <w:r>
        <w:rPr>
          <w:rFonts w:ascii="Calibri" w:hAnsi="Calibri" w:cs="Arial"/>
          <w:rtl/>
          <w:sz w:val="24"/>
          <w:szCs w:val="24"/>
        </w:rPr>
        <w:t xml:space="preserve"> حرّك الفوهة من جانب إلى آخر على قاعدة النار حتى تنطفئ.</w:t>
      </w:r>
    </w:p>
    <w:p>
      <w:pPr>
        <w:pStyle w:val="ListeParagraf"/>
        <w:bidi/>
        <w:spacing w:after="80"/>
        <w:ind w:left="0" w:right="709"/>
        <w:jc w:val="both"/>
      </w:pPr>
      <w:r>
        <w:rPr>
          <w:rFonts w:ascii="Calibri" w:hAnsi="Calibri" w:cs="Arial"/>
          <w:rtl/>
          <w:sz w:val="24"/>
          <w:szCs w:val="24"/>
        </w:rPr>
        <w:t xml:space="preserve">2.2. اقترب من النار بحيث يكون تيار الهواء خلفك؛ وفي الأماكن المفتوحة قف في اتجاه هبوب الريح.</w:t>
      </w:r>
    </w:p>
    <w:p>
      <w:pPr>
        <w:pStyle w:val="ListeParagraf"/>
        <w:bidi/>
        <w:spacing w:after="80"/>
        <w:ind w:left="0" w:right="709"/>
        <w:jc w:val="both"/>
      </w:pPr>
      <w:r>
        <w:rPr>
          <w:rFonts w:ascii="Calibri" w:hAnsi="Calibri" w:cs="Arial"/>
          <w:rtl/>
          <w:sz w:val="24"/>
          <w:szCs w:val="24"/>
        </w:rPr>
        <w:t xml:space="preserve">2.3. بعد إخماد النار، راقب المنطقة لمنع عودة الاشتعال؛ فحرائق الوبر والقطن قد تستمر في الاشتعال البطيء داخل الأكوام والآلات.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تكافح الحريق إلا إذا كان صغيرًا، وتم إطلاق الإنذار، وكان خلفك طريق هروب واضح.</w:t>
      </w:r>
    </w:p>
    <w:p>
      <w:pPr>
        <w:pStyle w:val="ListeParagraf"/>
        <w:numPr>
          <w:ilvl w:val="0"/>
          <w:numId w:val="1"/>
        </w:numPr>
        <w:bidi/>
        <w:spacing w:after="60"/>
        <w:jc w:val="both"/>
      </w:pPr>
      <w:r>
        <w:rPr>
          <w:rFonts w:ascii="Calibri" w:hAnsi="Calibri" w:cs="Arial"/>
          <w:rtl/>
          <w:sz w:val="24"/>
          <w:szCs w:val="24"/>
        </w:rPr>
        <w:t xml:space="preserve">لا تستخدم طفايات الماء أو الرغوة على اللوحات الكهربائية أو المعدات المكهربة.</w:t>
      </w:r>
    </w:p>
    <w:p>
      <w:pPr>
        <w:pStyle w:val="ListeParagraf"/>
        <w:numPr>
          <w:ilvl w:val="0"/>
          <w:numId w:val="1"/>
        </w:numPr>
        <w:bidi/>
        <w:spacing w:after="60"/>
        <w:jc w:val="both"/>
      </w:pPr>
      <w:r>
        <w:rPr>
          <w:rFonts w:ascii="Calibri" w:hAnsi="Calibri" w:cs="Arial"/>
          <w:rtl/>
          <w:sz w:val="24"/>
          <w:szCs w:val="24"/>
        </w:rPr>
        <w:t xml:space="preserve">لا تمسك بوق طفاية CO2 بيدين عاريتين؛ فهو يصبح شديد البرودة وقد يسبب قضمة الصقيع.</w:t>
      </w:r>
    </w:p>
    <w:p>
      <w:pPr>
        <w:pStyle w:val="ListeParagraf"/>
        <w:numPr>
          <w:ilvl w:val="0"/>
          <w:numId w:val="1"/>
        </w:numPr>
        <w:bidi/>
        <w:spacing w:after="60"/>
        <w:jc w:val="both"/>
      </w:pPr>
      <w:r>
        <w:rPr>
          <w:rFonts w:ascii="Calibri" w:hAnsi="Calibri" w:cs="Arial"/>
          <w:rtl/>
          <w:sz w:val="24"/>
          <w:szCs w:val="24"/>
        </w:rPr>
        <w:t xml:space="preserve">لا تدخل غرفة مليئة بالدخان، ولا تُدر ظهرك للنار أثناء التراجع.</w:t>
      </w:r>
    </w:p>
    <w:p>
      <w:pPr>
        <w:pStyle w:val="ListeParagraf"/>
        <w:numPr>
          <w:ilvl w:val="0"/>
          <w:numId w:val="1"/>
        </w:numPr>
        <w:bidi/>
        <w:spacing w:after="60"/>
        <w:jc w:val="both"/>
      </w:pPr>
      <w:r>
        <w:rPr>
          <w:rFonts w:ascii="Calibri" w:hAnsi="Calibri" w:cs="Arial"/>
          <w:rtl/>
          <w:sz w:val="24"/>
          <w:szCs w:val="24"/>
        </w:rPr>
        <w:t xml:space="preserve">لا تسد الطفايات أو تنقلها أو تعلق عليها أي شيء، ولا تُعِد طفاية مستخدمة إلى مكانها.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المشكلة / الطوارئ</w:t>
      </w:r>
    </w:p>
    <w:p>
      <w:pPr>
        <w:pStyle w:val="ListeParagraf"/>
        <w:bidi/>
        <w:spacing w:after="80"/>
        <w:ind w:left="0" w:right="709"/>
        <w:jc w:val="both"/>
      </w:pPr>
      <w:r>
        <w:rPr>
          <w:rFonts w:ascii="Calibri" w:hAnsi="Calibri" w:cs="Arial"/>
          <w:rtl/>
          <w:sz w:val="24"/>
          <w:szCs w:val="24"/>
        </w:rPr>
        <w:t xml:space="preserve">4.1. إذا لم تعمل الطفاية أو لم تصغر النار بعد استخدام طفاية واحدة، تراجع وأغلق الأبواب خلفك وأخلِ المكان إلى نقطة التجمع.</w:t>
      </w:r>
    </w:p>
    <w:p>
      <w:pPr>
        <w:pStyle w:val="ListeParagraf"/>
        <w:bidi/>
        <w:spacing w:after="80"/>
        <w:ind w:left="0" w:right="709"/>
        <w:jc w:val="both"/>
      </w:pPr>
      <w:r>
        <w:rPr>
          <w:rFonts w:ascii="Calibri" w:hAnsi="Calibri" w:cs="Arial"/>
          <w:rtl/>
          <w:sz w:val="24"/>
          <w:szCs w:val="24"/>
        </w:rPr>
        <w:t xml:space="preserve">4.2. اترك مكافحة الحريق لفريق الدفاع المدني والمطافئ؛ وأبلغ فورًا عن أي إصابة لفريق الإسعافات الأولية والعيادة.</w:t>
      </w:r>
    </w:p>
    <w:p>
      <w:pPr>
        <w:pStyle w:val="ListeParagraf"/>
        <w:bidi/>
        <w:spacing w:after="80"/>
        <w:ind w:left="0" w:right="709"/>
        <w:jc w:val="both"/>
      </w:pPr>
      <w:r>
        <w:rPr>
          <w:rFonts w:ascii="Calibri" w:hAnsi="Calibri" w:cs="Arial"/>
          <w:rtl/>
          <w:sz w:val="24"/>
          <w:szCs w:val="24"/>
        </w:rPr>
        <w:t xml:space="preserve">4.3. أبلغ قسم الصحة والسلامة والبيئة عن كل طفاية مستخدمة؛ فتُستبدل فورًا بطفاية احتياطية وتُرسل لإعادة التعبئة. وسجّل الحادث في تقرير حادث الحريق حتى لو كان الحريق صغيرًا جدًا.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مخطط مواقع طفايات الحريق وقائمة الفحص الشهري / البطاقات</w:t>
      </w:r>
    </w:p>
    <w:p>
      <w:pPr>
        <w:pStyle w:val="ListeParagraf"/>
        <w:numPr>
          <w:ilvl w:val="0"/>
          <w:numId w:val="1"/>
        </w:numPr>
        <w:bidi/>
        <w:spacing w:after="60"/>
        <w:jc w:val="both"/>
      </w:pPr>
      <w:r>
        <w:rPr>
          <w:rFonts w:ascii="Calibri" w:hAnsi="Calibri" w:cs="Arial"/>
          <w:rtl/>
          <w:sz w:val="24"/>
          <w:szCs w:val="24"/>
        </w:rPr>
        <w:t xml:space="preserve">تقرير حادث الحريق</w:t>
      </w:r>
    </w:p>
    <w:p>
      <w:pPr>
        <w:pStyle w:val="ListeParagraf"/>
        <w:numPr>
          <w:ilvl w:val="0"/>
          <w:numId w:val="1"/>
        </w:numPr>
        <w:bidi/>
        <w:spacing w:after="60"/>
        <w:jc w:val="both"/>
      </w:pPr>
      <w:r>
        <w:rPr>
          <w:rFonts w:ascii="Calibri" w:hAnsi="Calibri" w:cs="Arial"/>
          <w:rtl/>
          <w:sz w:val="24"/>
          <w:szCs w:val="24"/>
        </w:rPr>
        <w:t xml:space="preserve">EMS.SS.PRO.10.01. إجراء الوقاية من الحريق ومراقبة معدات مكافحة الحريق</w:t>
      </w:r>
    </w:p>
    <w:p>
      <w:pPr>
        <w:pStyle w:val="ListeParagraf"/>
        <w:numPr>
          <w:ilvl w:val="0"/>
          <w:numId w:val="1"/>
        </w:numPr>
        <w:bidi/>
        <w:spacing w:after="60"/>
        <w:jc w:val="both"/>
      </w:pPr>
      <w:r>
        <w:rPr>
          <w:rFonts w:ascii="Calibri" w:hAnsi="Calibri" w:cs="Arial"/>
          <w:rtl/>
          <w:sz w:val="24"/>
          <w:szCs w:val="24"/>
        </w:rPr>
        <w:t xml:space="preserve">EMS.SS.PRO.10.02. إجراء تدريبات الإخلاء وفريق الدفاع المدني</w:t>
      </w:r>
    </w:p>
    <w:p>
      <w:pPr>
        <w:pStyle w:val="ListeParagraf"/>
        <w:numPr>
          <w:ilvl w:val="0"/>
          <w:numId w:val="1"/>
        </w:numPr>
        <w:bidi/>
        <w:spacing w:after="60"/>
        <w:jc w:val="both"/>
      </w:pPr>
      <w:r>
        <w:rPr>
          <w:rFonts w:ascii="Calibri" w:hAnsi="Calibri" w:cs="Arial"/>
          <w:rtl/>
          <w:sz w:val="24"/>
          <w:szCs w:val="24"/>
        </w:rPr>
        <w:t xml:space="preserve">EMS OHS SP16 خطة الاستجابة للطوارئ</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تُرفع إلى لجنة الصحة والسلامة المهنية نسبة إنجاز الفحوصات الشهرية للطفايات وعدد الموظفين الذين تلقوا تدريبًا عمليًا وعدد حوادث الحريق. ويُراجع مدير الصحة والسلامة والبيئة هذه التعليمات سنويًا وبعد أي حريق أو ملاحظة من التدريبات.</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FIRE EXTINGUISHER USE INSTRUCTION</w:t>
          </w:r>
        </w:p>
        <w:p>
          <w:pPr>
            <w:pStyle w:val="GvdeMetni2"/>
            <w:bidi/>
            <w:spacing w:line="276" w:lineRule="auto"/>
            <w:jc w:val="center"/>
          </w:pPr>
          <w:r>
            <w:rPr>
              <w:rFonts w:asciiTheme="minorHAnsi" w:hAnsiTheme="minorHAnsi" w:cs="Arial"/>
              <w:b/>
              <w:bCs/>
              <w:color w:val="000000" w:themeColor="text1"/>
              <w:sz w:val="22"/>
              <w:szCs w:val="22"/>
              <w:rtl/>
            </w:rPr>
            <w:t>تعليمات استخدام طفاية الحريق</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EMS.SS.TL.10.01.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EMS.SS.TL.10.01. FIRE EXTINGUISHER USE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