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identifies, evaluates and prioritises the risks and opportunities arising from its context, interested party requirements and processes, and how actions are planned, implemented and checked for effectiveness, in line with ISO 9001,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business and management system level risks and opportunities of all EMS departments and processes. Detailed operational assessments (OHS hazards, environmental aspects, chemical risks and security risks) are carried out under their own procedures and their significant results are carried into this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Risk and Opportunity Register, decides on high risks and provides resources for the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w:t>
      </w:r>
      <w:r>
        <w:rPr>
          <w:rFonts w:ascii="Calibri" w:hAnsi="Calibri" w:cs="Arial"/>
          <w:sz w:val="24"/>
          <w:szCs w:val="24"/>
        </w:rPr>
        <w:t xml:space="preserve"> Coordinates the process, maintains the register, follows up actions and reports to the management review.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Identify the risks and opportunities of their processes, propose and implement actions and report their status every quarter.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Quality, CSR and Security Managers:</w:t>
      </w:r>
      <w:r>
        <w:rPr>
          <w:rFonts w:ascii="Calibri" w:hAnsi="Calibri" w:cs="Arial"/>
          <w:sz w:val="24"/>
          <w:szCs w:val="24"/>
        </w:rPr>
        <w:t xml:space="preserve"> Transfer the significant results of their specialised risk assessments to the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w:t>
      </w:r>
      <w:r>
        <w:rPr>
          <w:rFonts w:ascii="Calibri" w:hAnsi="Calibri" w:cs="Arial"/>
          <w:sz w:val="24"/>
          <w:szCs w:val="24"/>
        </w:rPr>
        <w:t xml:space="preserve"> The effect of uncertainty; a possible event that may prevent EMS from achieving its objectives or intended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Opportunity:</w:t>
      </w:r>
      <w:r>
        <w:rPr>
          <w:rFonts w:ascii="Calibri" w:hAnsi="Calibri" w:cs="Arial"/>
          <w:sz w:val="24"/>
          <w:szCs w:val="24"/>
        </w:rPr>
        <w:t xml:space="preserve"> A situation that can lead to better performance, new business, cost savings or improvement.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Likelihood:</w:t>
      </w:r>
      <w:r>
        <w:rPr>
          <w:rFonts w:ascii="Calibri" w:hAnsi="Calibri" w:cs="Arial"/>
          <w:sz w:val="24"/>
          <w:szCs w:val="24"/>
        </w:rPr>
        <w:t xml:space="preserve"> The probability that the risk will occur, scored from 1 (very unlikely) to 5 (almost certain).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Severity:</w:t>
      </w:r>
      <w:r>
        <w:rPr>
          <w:rFonts w:ascii="Calibri" w:hAnsi="Calibri" w:cs="Arial"/>
          <w:sz w:val="24"/>
          <w:szCs w:val="24"/>
        </w:rPr>
        <w:t xml:space="preserve"> The size of the consequence if the risk occurs, scored from 1 (negligible) to 5 (very serious).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 Score:</w:t>
      </w:r>
      <w:r>
        <w:rPr>
          <w:rFonts w:ascii="Calibri" w:hAnsi="Calibri" w:cs="Arial"/>
          <w:sz w:val="24"/>
          <w:szCs w:val="24"/>
        </w:rPr>
        <w:t xml:space="preserve"> Likelihood × Severity, used to prioritise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RISKS AND OPPORTUNITIES</w:t>
      </w:r>
    </w:p>
    <w:p>
      <w:pPr>
        <w:pStyle w:val="ListeParagraf"/>
        <w:spacing w:after="80"/>
        <w:ind w:left="709" w:right="0"/>
        <w:jc w:val="both"/>
      </w:pPr>
      <w:r>
        <w:rPr>
          <w:rFonts w:ascii="Calibri" w:hAnsi="Calibri" w:cs="Arial"/>
          <w:sz w:val="24"/>
          <w:szCs w:val="24"/>
        </w:rPr>
        <w:t xml:space="preserve">1.1. Each department identifies its risks and opportunities at least once a year, using as inputs:</w:t>
      </w:r>
    </w:p>
    <w:p>
      <w:pPr>
        <w:pStyle w:val="ListeParagraf"/>
        <w:numPr>
          <w:ilvl w:val="0"/>
          <w:numId w:val="1"/>
        </w:numPr>
        <w:spacing w:after="60"/>
        <w:jc w:val="both"/>
      </w:pPr>
      <w:r>
        <w:rPr>
          <w:rFonts w:ascii="Calibri" w:hAnsi="Calibri" w:cs="Arial"/>
          <w:sz w:val="24"/>
          <w:szCs w:val="24"/>
        </w:rPr>
        <w:t xml:space="preserve">The context analysis and the interested parties register (EMS.YS.PRO.11.03.),</w:t>
      </w:r>
    </w:p>
    <w:p>
      <w:pPr>
        <w:pStyle w:val="ListeParagraf"/>
        <w:numPr>
          <w:ilvl w:val="0"/>
          <w:numId w:val="1"/>
        </w:numPr>
        <w:spacing w:after="60"/>
        <w:jc w:val="both"/>
      </w:pPr>
      <w:r>
        <w:rPr>
          <w:rFonts w:ascii="Calibri" w:hAnsi="Calibri" w:cs="Arial"/>
          <w:sz w:val="24"/>
          <w:szCs w:val="24"/>
        </w:rPr>
        <w:t xml:space="preserve">Process performance, KPIs, customer complaints and audit findings,</w:t>
      </w:r>
    </w:p>
    <w:p>
      <w:pPr>
        <w:pStyle w:val="ListeParagraf"/>
        <w:numPr>
          <w:ilvl w:val="0"/>
          <w:numId w:val="1"/>
        </w:numPr>
        <w:spacing w:after="60"/>
        <w:jc w:val="both"/>
      </w:pPr>
      <w:r>
        <w:rPr>
          <w:rFonts w:ascii="Calibri" w:hAnsi="Calibri" w:cs="Arial"/>
          <w:sz w:val="24"/>
          <w:szCs w:val="24"/>
        </w:rPr>
        <w:t xml:space="preserve">Significant environmental aspects, OHS risks, chemical and security risk assessments,</w:t>
      </w:r>
    </w:p>
    <w:p>
      <w:pPr>
        <w:pStyle w:val="ListeParagraf"/>
        <w:numPr>
          <w:ilvl w:val="0"/>
          <w:numId w:val="1"/>
        </w:numPr>
        <w:spacing w:after="60"/>
        <w:jc w:val="both"/>
      </w:pPr>
      <w:r>
        <w:rPr>
          <w:rFonts w:ascii="Calibri" w:hAnsi="Calibri" w:cs="Arial"/>
          <w:sz w:val="24"/>
          <w:szCs w:val="24"/>
        </w:rPr>
        <w:t xml:space="preserve">Planned changes (new customer, product, machine, process, building or legal requirement).</w:t>
      </w:r>
    </w:p>
    <w:p>
      <w:pPr>
        <w:pStyle w:val="ListeParagraf"/>
        <w:spacing w:after="80"/>
        <w:ind w:left="709" w:right="0"/>
        <w:jc w:val="both"/>
      </w:pPr>
      <w:r>
        <w:rPr>
          <w:rFonts w:ascii="Calibri" w:hAnsi="Calibri" w:cs="Arial"/>
          <w:sz w:val="24"/>
          <w:szCs w:val="24"/>
        </w:rPr>
        <w:t xml:space="preserve">1.2. Typical risks include loss of a key customer, late delivery, shade or quality failures, RSL test failure, breakdown of critical utilities, shortage of skilled workers, social compliance violations, chemical spills and security breaches.</w:t>
      </w:r>
    </w:p>
    <w:p>
      <w:pPr>
        <w:pStyle w:val="ListeParagraf"/>
        <w:spacing w:after="80"/>
        <w:ind w:left="709" w:right="0"/>
        <w:jc w:val="both"/>
      </w:pPr>
      <w:r>
        <w:rPr>
          <w:rFonts w:ascii="Calibri" w:hAnsi="Calibri" w:cs="Arial"/>
          <w:sz w:val="24"/>
          <w:szCs w:val="24"/>
        </w:rPr>
        <w:t xml:space="preserve">1.3. Typical opportunities include new markets and certified products (GRS, OCS), energy and water savings, automation, multi-skilling and digital tracking systems.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EVALUATING AND PRIORITISING</w:t>
      </w:r>
    </w:p>
    <w:p>
      <w:pPr>
        <w:pStyle w:val="ListeParagraf"/>
        <w:spacing w:after="80"/>
        <w:ind w:left="709" w:right="0"/>
        <w:jc w:val="both"/>
      </w:pPr>
      <w:r>
        <w:rPr>
          <w:rFonts w:ascii="Calibri" w:hAnsi="Calibri" w:cs="Arial"/>
          <w:sz w:val="24"/>
          <w:szCs w:val="24"/>
        </w:rPr>
        <w:t xml:space="preserve">2.1. Each risk is scored using Likelihood (1-5) × Severity (1-5), taking existing controls into account:</w:t>
      </w:r>
    </w:p>
    <w:p>
      <w:pPr>
        <w:pStyle w:val="ListeParagraf"/>
        <w:numPr>
          <w:ilvl w:val="0"/>
          <w:numId w:val="1"/>
        </w:numPr>
        <w:spacing w:after="60"/>
        <w:jc w:val="both"/>
      </w:pPr>
      <w:r>
        <w:rPr>
          <w:rFonts w:ascii="Calibri" w:hAnsi="Calibri" w:cs="Arial"/>
          <w:sz w:val="24"/>
          <w:szCs w:val="24"/>
        </w:rPr>
        <w:t xml:space="preserve">1-6: Low risk – monitored within existing controls,</w:t>
      </w:r>
    </w:p>
    <w:p>
      <w:pPr>
        <w:pStyle w:val="ListeParagraf"/>
        <w:numPr>
          <w:ilvl w:val="0"/>
          <w:numId w:val="1"/>
        </w:numPr>
        <w:spacing w:after="60"/>
        <w:jc w:val="both"/>
      </w:pPr>
      <w:r>
        <w:rPr>
          <w:rFonts w:ascii="Calibri" w:hAnsi="Calibri" w:cs="Arial"/>
          <w:sz w:val="24"/>
          <w:szCs w:val="24"/>
        </w:rPr>
        <w:t xml:space="preserve">8-12: Medium risk – an action plan is prepared within three months,</w:t>
      </w:r>
    </w:p>
    <w:p>
      <w:pPr>
        <w:pStyle w:val="ListeParagraf"/>
        <w:numPr>
          <w:ilvl w:val="0"/>
          <w:numId w:val="1"/>
        </w:numPr>
        <w:spacing w:after="60"/>
        <w:jc w:val="both"/>
      </w:pPr>
      <w:r>
        <w:rPr>
          <w:rFonts w:ascii="Calibri" w:hAnsi="Calibri" w:cs="Arial"/>
          <w:sz w:val="24"/>
          <w:szCs w:val="24"/>
        </w:rPr>
        <w:t xml:space="preserve">15-25: High risk – immediate action is planned and approved by the General Manager.</w:t>
      </w:r>
    </w:p>
    <w:p>
      <w:pPr>
        <w:pStyle w:val="ListeParagraf"/>
        <w:spacing w:after="80"/>
        <w:ind w:left="709" w:right="0"/>
        <w:jc w:val="both"/>
      </w:pPr>
      <w:r>
        <w:rPr>
          <w:rFonts w:ascii="Calibri" w:hAnsi="Calibri" w:cs="Arial"/>
          <w:sz w:val="24"/>
          <w:szCs w:val="24"/>
        </w:rPr>
        <w:t xml:space="preserve">2.2. Opportunities are evaluated by expected benefit, cost and feasibility (High / Medium / Low) and prioritised by management.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PLANNING AND IMPLEMENTING ACTIONS</w:t>
      </w:r>
    </w:p>
    <w:p>
      <w:pPr>
        <w:pStyle w:val="ListeParagraf"/>
        <w:spacing w:after="80"/>
        <w:ind w:left="709" w:right="0"/>
        <w:jc w:val="both"/>
      </w:pPr>
      <w:r>
        <w:rPr>
          <w:rFonts w:ascii="Calibri" w:hAnsi="Calibri" w:cs="Arial"/>
          <w:sz w:val="24"/>
          <w:szCs w:val="24"/>
        </w:rPr>
        <w:t xml:space="preserve">3.1. For medium and high risks and selected opportunities, actions are defined in the Risk and Opportunity Register with the responsible person, deadline and required resources.</w:t>
      </w:r>
    </w:p>
    <w:p>
      <w:pPr>
        <w:pStyle w:val="ListeParagraf"/>
        <w:spacing w:after="80"/>
        <w:ind w:left="709" w:right="0"/>
        <w:jc w:val="both"/>
      </w:pPr>
      <w:r>
        <w:rPr>
          <w:rFonts w:ascii="Calibri" w:hAnsi="Calibri" w:cs="Arial"/>
          <w:sz w:val="24"/>
          <w:szCs w:val="24"/>
        </w:rPr>
        <w:t xml:space="preserve">3.2. Actions are proportionate to the potential impact and are integrated into objectives, budgets, procedures and maintenance or training plans where possible.</w:t>
      </w:r>
    </w:p>
    <w:p>
      <w:pPr>
        <w:pStyle w:val="ListeParagraf"/>
        <w:spacing w:after="80"/>
        <w:ind w:left="709" w:right="0"/>
        <w:jc w:val="both"/>
      </w:pPr>
      <w:r>
        <w:rPr>
          <w:rFonts w:ascii="Calibri" w:hAnsi="Calibri" w:cs="Arial"/>
          <w:sz w:val="24"/>
          <w:szCs w:val="24"/>
        </w:rPr>
        <w:t xml:space="preserve">3.3. Department managers report the status of their actions to the Management System Representative every quarter.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EVALUATING EFFECTIVENESS</w:t>
      </w:r>
    </w:p>
    <w:p>
      <w:pPr>
        <w:pStyle w:val="ListeParagraf"/>
        <w:spacing w:after="80"/>
        <w:ind w:left="709" w:right="0"/>
        <w:jc w:val="both"/>
      </w:pPr>
      <w:r>
        <w:rPr>
          <w:rFonts w:ascii="Calibri" w:hAnsi="Calibri" w:cs="Arial"/>
          <w:sz w:val="24"/>
          <w:szCs w:val="24"/>
        </w:rPr>
        <w:t xml:space="preserve">4.1. After an action is completed, the risk is re-scored; the action is effective if the residual score has dropped to an acceptable level.</w:t>
      </w:r>
    </w:p>
    <w:p>
      <w:pPr>
        <w:pStyle w:val="ListeParagraf"/>
        <w:spacing w:after="80"/>
        <w:ind w:left="709" w:right="0"/>
        <w:jc w:val="both"/>
      </w:pPr>
      <w:r>
        <w:rPr>
          <w:rFonts w:ascii="Calibri" w:hAnsi="Calibri" w:cs="Arial"/>
          <w:sz w:val="24"/>
          <w:szCs w:val="24"/>
        </w:rPr>
        <w:t xml:space="preserve">4.2. If the action is not effective, a new action is defined and the case is reported to the General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REVIEW AND UPDATE</w:t>
      </w:r>
    </w:p>
    <w:p>
      <w:pPr>
        <w:pStyle w:val="ListeParagraf"/>
        <w:spacing w:after="80"/>
        <w:ind w:left="709" w:right="0"/>
        <w:jc w:val="both"/>
      </w:pPr>
      <w:r>
        <w:rPr>
          <w:rFonts w:ascii="Calibri" w:hAnsi="Calibri" w:cs="Arial"/>
          <w:sz w:val="24"/>
          <w:szCs w:val="24"/>
        </w:rPr>
        <w:t xml:space="preserve">5.1. The register is reviewed at least once a year and also after a significant change, incident, customer complaint or serious audit finding.</w:t>
      </w:r>
    </w:p>
    <w:p>
      <w:pPr>
        <w:pStyle w:val="ListeParagraf"/>
        <w:spacing w:after="80"/>
        <w:ind w:left="709" w:right="0"/>
        <w:jc w:val="both"/>
      </w:pPr>
      <w:r>
        <w:rPr>
          <w:rFonts w:ascii="Calibri" w:hAnsi="Calibri" w:cs="Arial"/>
          <w:sz w:val="24"/>
          <w:szCs w:val="24"/>
        </w:rPr>
        <w:t xml:space="preserve">5.2. The status of risks, opportunities and actions is presented as an input to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w:t>
      </w:r>
    </w:p>
    <w:p>
      <w:pPr>
        <w:pStyle w:val="ListeParagraf"/>
        <w:numPr>
          <w:ilvl w:val="0"/>
          <w:numId w:val="1"/>
        </w:numPr>
        <w:spacing w:after="60"/>
        <w:jc w:val="both"/>
      </w:pPr>
      <w:r>
        <w:rPr>
          <w:rFonts w:ascii="Calibri" w:hAnsi="Calibri" w:cs="Arial"/>
          <w:sz w:val="24"/>
          <w:szCs w:val="24"/>
        </w:rPr>
        <w:t xml:space="preserve">Number of open high risks and their trend,</w:t>
      </w:r>
    </w:p>
    <w:p>
      <w:pPr>
        <w:pStyle w:val="ListeParagraf"/>
        <w:numPr>
          <w:ilvl w:val="0"/>
          <w:numId w:val="1"/>
        </w:numPr>
        <w:spacing w:after="60"/>
        <w:jc w:val="both"/>
      </w:pPr>
      <w:r>
        <w:rPr>
          <w:rFonts w:ascii="Calibri" w:hAnsi="Calibri" w:cs="Arial"/>
          <w:sz w:val="24"/>
          <w:szCs w:val="24"/>
        </w:rPr>
        <w:t xml:space="preserve">Percentage of actions completed on time (target: at least 90%),</w:t>
      </w:r>
    </w:p>
    <w:p>
      <w:pPr>
        <w:pStyle w:val="ListeParagraf"/>
        <w:numPr>
          <w:ilvl w:val="0"/>
          <w:numId w:val="1"/>
        </w:numPr>
        <w:spacing w:after="60"/>
        <w:jc w:val="both"/>
      </w:pPr>
      <w:r>
        <w:rPr>
          <w:rFonts w:ascii="Calibri" w:hAnsi="Calibri" w:cs="Arial"/>
          <w:sz w:val="24"/>
          <w:szCs w:val="24"/>
        </w:rPr>
        <w:t xml:space="preserve">Percentage of actions found effective at re-evaluation,</w:t>
      </w:r>
    </w:p>
    <w:p>
      <w:pPr>
        <w:pStyle w:val="ListeParagraf"/>
        <w:numPr>
          <w:ilvl w:val="0"/>
          <w:numId w:val="1"/>
        </w:numPr>
        <w:spacing w:after="60"/>
        <w:jc w:val="both"/>
      </w:pPr>
      <w:r>
        <w:rPr>
          <w:rFonts w:ascii="Calibri" w:hAnsi="Calibri" w:cs="Arial"/>
          <w:sz w:val="24"/>
          <w:szCs w:val="24"/>
        </w:rPr>
        <w:t xml:space="preserve">Number of opportunities realised during the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Risk and Opportunity Register</w:t>
      </w:r>
    </w:p>
    <w:p>
      <w:pPr>
        <w:pStyle w:val="ListeParagraf"/>
        <w:numPr>
          <w:ilvl w:val="0"/>
          <w:numId w:val="1"/>
        </w:numPr>
        <w:spacing w:after="60"/>
        <w:jc w:val="both"/>
      </w:pPr>
      <w:r>
        <w:rPr>
          <w:rFonts w:ascii="Calibri" w:hAnsi="Calibri" w:cs="Arial"/>
          <w:sz w:val="24"/>
          <w:szCs w:val="24"/>
        </w:rPr>
        <w:t xml:space="preserve">Action Follow-up List</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EMS.ÇV.PRO.19.01. Environmental Aspects and Impacts Evaluation Procedure</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EMS.İD.PRO.03.06. Security Risk Assessment and Personnel Security Procedure</w:t>
      </w:r>
    </w:p>
    <w:p>
      <w:pPr>
        <w:pStyle w:val="ListeParagraf"/>
        <w:numPr>
          <w:ilvl w:val="0"/>
          <w:numId w:val="1"/>
        </w:numPr>
        <w:spacing w:after="60"/>
        <w:jc w:val="both"/>
      </w:pPr>
      <w:r>
        <w:rPr>
          <w:rFonts w:ascii="Calibri" w:hAnsi="Calibri" w:cs="Arial"/>
          <w:sz w:val="24"/>
          <w:szCs w:val="24"/>
        </w:rPr>
        <w:t xml:space="preserve">EMS OHS SP10 Management of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department managers, audit results and changes in the context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بتحديد المخاطر والفرص الناشئة عن سياقها ومتطلبات الأطراف المعنية وعملياتها وتقييمها وترتيب أولوياتها، وكيفية تخطيط الإجراءات وتنفيذها والتحقق من فعاليتها، بما يتوافق مع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مخاطر وفرص الأعمال ونظام الإدارة لجميع أقسام EMS وعملياتها. أما التقييمات التشغيلية التفصيلية (مخاطر الصحة والسلامة المهنية، والجوانب البيئية، والمخاطر الكيميائية، والمخاطر الأمنية) فتُنفذ وفق إجراءاتها الخاصة، وتُنقل نتائجها الهامة إلى هذه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سجل المخاطر والفرص، ويتخذ القرار بشأن المخاطر المرتفعة، ويوفر الموارد اللازمة للإجراءات.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w:t>
      </w:r>
      <w:r>
        <w:rPr>
          <w:rFonts w:ascii="Calibri" w:hAnsi="Calibri" w:cs="Arial"/>
          <w:rtl/>
          <w:sz w:val="24"/>
          <w:szCs w:val="24"/>
        </w:rPr>
        <w:t xml:space="preserve"> ينسق العملية، ويحتفظ بالسجل، ويتابع الإجراءات، ويرفع التقارير إلى مراجعة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يحددون مخاطر عملياتهم وفرصها، ويقترحون الإجراءات وينفذونها، ويبلغون عن حالتها كل ثلاثة أشهر.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الصحة والسلامة والبيئة والجودة والمسؤولية الاجتماعية والأمن:</w:t>
      </w:r>
      <w:r>
        <w:rPr>
          <w:rFonts w:ascii="Calibri" w:hAnsi="Calibri" w:cs="Arial"/>
          <w:rtl/>
          <w:sz w:val="24"/>
          <w:szCs w:val="24"/>
        </w:rPr>
        <w:t xml:space="preserve"> ينقلون النتائج الهامة لتقييمات المخاطر المتخصصة إلى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الخطر:</w:t>
      </w:r>
      <w:r>
        <w:rPr>
          <w:rFonts w:ascii="Calibri" w:hAnsi="Calibri" w:cs="Arial"/>
          <w:rtl/>
          <w:sz w:val="24"/>
          <w:szCs w:val="24"/>
        </w:rPr>
        <w:t xml:space="preserve"> أثر عدم اليقين؛ حدث محتمل قد يمنع EMS من تحقيق أهدافها أو نتائجها المرجوة.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الفرصة:</w:t>
      </w:r>
      <w:r>
        <w:rPr>
          <w:rFonts w:ascii="Calibri" w:hAnsi="Calibri" w:cs="Arial"/>
          <w:rtl/>
          <w:sz w:val="24"/>
          <w:szCs w:val="24"/>
        </w:rPr>
        <w:t xml:space="preserve"> وضع يمكن أن يؤدي إلى أداء أفضل أو أعمال جديدة أو توفير في التكاليف أو تحسين.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الاحتمالية:</w:t>
      </w:r>
      <w:r>
        <w:rPr>
          <w:rFonts w:ascii="Calibri" w:hAnsi="Calibri" w:cs="Arial"/>
          <w:rtl/>
          <w:sz w:val="24"/>
          <w:szCs w:val="24"/>
        </w:rPr>
        <w:t xml:space="preserve"> مدى احتمال حدوث الخطر، وتُقيّم من 1 (غير محتمل جدًا) إلى 5 (شبه مؤكد).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الشدة:</w:t>
      </w:r>
      <w:r>
        <w:rPr>
          <w:rFonts w:ascii="Calibri" w:hAnsi="Calibri" w:cs="Arial"/>
          <w:rtl/>
          <w:sz w:val="24"/>
          <w:szCs w:val="24"/>
        </w:rPr>
        <w:t xml:space="preserve"> حجم العاقبة في حال حدوث الخطر، وتُقيّم من 1 (طفيفة) إلى 5 (خطيرة جدًا).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الخطر:</w:t>
      </w:r>
      <w:r>
        <w:rPr>
          <w:rFonts w:ascii="Calibri" w:hAnsi="Calibri" w:cs="Arial"/>
          <w:rtl/>
          <w:sz w:val="24"/>
          <w:szCs w:val="24"/>
        </w:rPr>
        <w:t xml:space="preserve"> الاحتمالية × الشدة، وتُستخدم لترتيب أولويات المخاطر.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المخاطر والفرص</w:t>
      </w:r>
    </w:p>
    <w:p>
      <w:pPr>
        <w:pStyle w:val="ListeParagraf"/>
        <w:bidi/>
        <w:spacing w:after="80"/>
        <w:ind w:left="0" w:right="709"/>
        <w:jc w:val="both"/>
      </w:pPr>
      <w:r>
        <w:rPr>
          <w:rFonts w:ascii="Calibri" w:hAnsi="Calibri" w:cs="Arial"/>
          <w:rtl/>
          <w:sz w:val="24"/>
          <w:szCs w:val="24"/>
        </w:rPr>
        <w:t xml:space="preserve">1.1. يحدد كل قسم مخاطره وفرصه مرة واحدة على الأقل سنويًا، مستخدمًا المدخلات التالية:</w:t>
      </w:r>
    </w:p>
    <w:p>
      <w:pPr>
        <w:pStyle w:val="ListeParagraf"/>
        <w:numPr>
          <w:ilvl w:val="0"/>
          <w:numId w:val="1"/>
        </w:numPr>
        <w:bidi/>
        <w:spacing w:after="60"/>
        <w:jc w:val="both"/>
      </w:pPr>
      <w:r>
        <w:rPr>
          <w:rFonts w:ascii="Calibri" w:hAnsi="Calibri" w:cs="Arial"/>
          <w:rtl/>
          <w:sz w:val="24"/>
          <w:szCs w:val="24"/>
        </w:rPr>
        <w:t xml:space="preserve">تحليل السياق وسجل الأطراف المعنية (EMS.YS.PRO.11.03.)،</w:t>
      </w:r>
    </w:p>
    <w:p>
      <w:pPr>
        <w:pStyle w:val="ListeParagraf"/>
        <w:numPr>
          <w:ilvl w:val="0"/>
          <w:numId w:val="1"/>
        </w:numPr>
        <w:bidi/>
        <w:spacing w:after="60"/>
        <w:jc w:val="both"/>
      </w:pPr>
      <w:r>
        <w:rPr>
          <w:rFonts w:ascii="Calibri" w:hAnsi="Calibri" w:cs="Arial"/>
          <w:rtl/>
          <w:sz w:val="24"/>
          <w:szCs w:val="24"/>
        </w:rPr>
        <w:t xml:space="preserve">أداء العمليات ومؤشرات الأداء وشكاوى العملاء وملاحظات التدقيق،</w:t>
      </w:r>
    </w:p>
    <w:p>
      <w:pPr>
        <w:pStyle w:val="ListeParagraf"/>
        <w:numPr>
          <w:ilvl w:val="0"/>
          <w:numId w:val="1"/>
        </w:numPr>
        <w:bidi/>
        <w:spacing w:after="60"/>
        <w:jc w:val="both"/>
      </w:pPr>
      <w:r>
        <w:rPr>
          <w:rFonts w:ascii="Calibri" w:hAnsi="Calibri" w:cs="Arial"/>
          <w:rtl/>
          <w:sz w:val="24"/>
          <w:szCs w:val="24"/>
        </w:rPr>
        <w:t xml:space="preserve">الجوانب البيئية الهامة ومخاطر الصحة والسلامة المهنية وتقييمات المخاطر الكيميائية والأمنية،</w:t>
      </w:r>
    </w:p>
    <w:p>
      <w:pPr>
        <w:pStyle w:val="ListeParagraf"/>
        <w:numPr>
          <w:ilvl w:val="0"/>
          <w:numId w:val="1"/>
        </w:numPr>
        <w:bidi/>
        <w:spacing w:after="60"/>
        <w:jc w:val="both"/>
      </w:pPr>
      <w:r>
        <w:rPr>
          <w:rFonts w:ascii="Calibri" w:hAnsi="Calibri" w:cs="Arial"/>
          <w:rtl/>
          <w:sz w:val="24"/>
          <w:szCs w:val="24"/>
        </w:rPr>
        <w:t xml:space="preserve">التغييرات المخطط لها (عميل أو منتج أو آلة أو عملية أو مبنى أو متطلب قانوني جديد).</w:t>
      </w:r>
    </w:p>
    <w:p>
      <w:pPr>
        <w:pStyle w:val="ListeParagraf"/>
        <w:bidi/>
        <w:spacing w:after="80"/>
        <w:ind w:left="0" w:right="709"/>
        <w:jc w:val="both"/>
      </w:pPr>
      <w:r>
        <w:rPr>
          <w:rFonts w:ascii="Calibri" w:hAnsi="Calibri" w:cs="Arial"/>
          <w:rtl/>
          <w:sz w:val="24"/>
          <w:szCs w:val="24"/>
        </w:rPr>
        <w:t xml:space="preserve">1.2. تشمل المخاطر النموذجية فقدان عميل رئيسي، والتأخر في التسليم، وأخطاء درجة اللون أو الجودة، والإخفاق في اختبارات RSL، وتعطل المرافق الحرجة، ونقص العمال المهرة، ومخالفات الامتثال الاجتماعي، وانسكابات الكيماويات، والاختراقات الأمنية.</w:t>
      </w:r>
    </w:p>
    <w:p>
      <w:pPr>
        <w:pStyle w:val="ListeParagraf"/>
        <w:bidi/>
        <w:spacing w:after="80"/>
        <w:ind w:left="0" w:right="709"/>
        <w:jc w:val="both"/>
      </w:pPr>
      <w:r>
        <w:rPr>
          <w:rFonts w:ascii="Calibri" w:hAnsi="Calibri" w:cs="Arial"/>
          <w:rtl/>
          <w:sz w:val="24"/>
          <w:szCs w:val="24"/>
        </w:rPr>
        <w:t xml:space="preserve">1.3. تشمل الفرص النموذجية أسواقًا جديدة ومنتجات معتمدة (GRS وOCS)، وتوفير الطاقة والمياه، والأتمتة، وتعدد المهارات، وأنظمة التتبع الرقمية.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التقييم وترتيب الأولويات</w:t>
      </w:r>
    </w:p>
    <w:p>
      <w:pPr>
        <w:pStyle w:val="ListeParagraf"/>
        <w:bidi/>
        <w:spacing w:after="80"/>
        <w:ind w:left="0" w:right="709"/>
        <w:jc w:val="both"/>
      </w:pPr>
      <w:r>
        <w:rPr>
          <w:rFonts w:ascii="Calibri" w:hAnsi="Calibri" w:cs="Arial"/>
          <w:rtl/>
          <w:sz w:val="24"/>
          <w:szCs w:val="24"/>
        </w:rPr>
        <w:t xml:space="preserve">2.1. تُقيّم درجة كل خطر وفق الاحتمالية (1-5) × الشدة (1-5)، مع مراعاة الضوابط القائمة:</w:t>
      </w:r>
    </w:p>
    <w:p>
      <w:pPr>
        <w:pStyle w:val="ListeParagraf"/>
        <w:numPr>
          <w:ilvl w:val="0"/>
          <w:numId w:val="1"/>
        </w:numPr>
        <w:bidi/>
        <w:spacing w:after="60"/>
        <w:jc w:val="both"/>
      </w:pPr>
      <w:r>
        <w:rPr>
          <w:rFonts w:ascii="Calibri" w:hAnsi="Calibri" w:cs="Arial"/>
          <w:rtl/>
          <w:sz w:val="24"/>
          <w:szCs w:val="24"/>
        </w:rPr>
        <w:t xml:space="preserve">1-6: خطر منخفض – يُراقب ضمن الضوابط القائمة،</w:t>
      </w:r>
    </w:p>
    <w:p>
      <w:pPr>
        <w:pStyle w:val="ListeParagraf"/>
        <w:numPr>
          <w:ilvl w:val="0"/>
          <w:numId w:val="1"/>
        </w:numPr>
        <w:bidi/>
        <w:spacing w:after="60"/>
        <w:jc w:val="both"/>
      </w:pPr>
      <w:r>
        <w:rPr>
          <w:rFonts w:ascii="Calibri" w:hAnsi="Calibri" w:cs="Arial"/>
          <w:rtl/>
          <w:sz w:val="24"/>
          <w:szCs w:val="24"/>
        </w:rPr>
        <w:t xml:space="preserve">8-12: خطر متوسط – تُعد خطة عمل خلال ثلاثة أشهر،</w:t>
      </w:r>
    </w:p>
    <w:p>
      <w:pPr>
        <w:pStyle w:val="ListeParagraf"/>
        <w:numPr>
          <w:ilvl w:val="0"/>
          <w:numId w:val="1"/>
        </w:numPr>
        <w:bidi/>
        <w:spacing w:after="60"/>
        <w:jc w:val="both"/>
      </w:pPr>
      <w:r>
        <w:rPr>
          <w:rFonts w:ascii="Calibri" w:hAnsi="Calibri" w:cs="Arial"/>
          <w:rtl/>
          <w:sz w:val="24"/>
          <w:szCs w:val="24"/>
        </w:rPr>
        <w:t xml:space="preserve">15-25: خطر مرتفع – يُخطط لإجراء فوري ويعتمده المدير العام.</w:t>
      </w:r>
    </w:p>
    <w:p>
      <w:pPr>
        <w:pStyle w:val="ListeParagraf"/>
        <w:bidi/>
        <w:spacing w:after="80"/>
        <w:ind w:left="0" w:right="709"/>
        <w:jc w:val="both"/>
      </w:pPr>
      <w:r>
        <w:rPr>
          <w:rFonts w:ascii="Calibri" w:hAnsi="Calibri" w:cs="Arial"/>
          <w:rtl/>
          <w:sz w:val="24"/>
          <w:szCs w:val="24"/>
        </w:rPr>
        <w:t xml:space="preserve">2.2. تُقيّم الفرص وفق الفائدة المتوقعة والتكلفة وإمكانية التنفيذ (مرتفعة / متوسطة / منخفضة)، وتحدد الإدارة أولوياتها.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تخطيط الإجراءات وتنفيذها</w:t>
      </w:r>
    </w:p>
    <w:p>
      <w:pPr>
        <w:pStyle w:val="ListeParagraf"/>
        <w:bidi/>
        <w:spacing w:after="80"/>
        <w:ind w:left="0" w:right="709"/>
        <w:jc w:val="both"/>
      </w:pPr>
      <w:r>
        <w:rPr>
          <w:rFonts w:ascii="Calibri" w:hAnsi="Calibri" w:cs="Arial"/>
          <w:rtl/>
          <w:sz w:val="24"/>
          <w:szCs w:val="24"/>
        </w:rPr>
        <w:t xml:space="preserve">3.1. بالنسبة للمخاطر المتوسطة والمرتفعة والفرص المختارة، تُحدد الإجراءات في سجل المخاطر والفرص مع الشخص المسؤول والموعد النهائي والموارد المطلوبة.</w:t>
      </w:r>
    </w:p>
    <w:p>
      <w:pPr>
        <w:pStyle w:val="ListeParagraf"/>
        <w:bidi/>
        <w:spacing w:after="80"/>
        <w:ind w:left="0" w:right="709"/>
        <w:jc w:val="both"/>
      </w:pPr>
      <w:r>
        <w:rPr>
          <w:rFonts w:ascii="Calibri" w:hAnsi="Calibri" w:cs="Arial"/>
          <w:rtl/>
          <w:sz w:val="24"/>
          <w:szCs w:val="24"/>
        </w:rPr>
        <w:t xml:space="preserve">3.2. تكون الإجراءات متناسبة مع الأثر المحتمل، وتُدمج في الأهداف والميزانيات والإجراءات وخطط الصيانة أو التدريب حيثما أمكن.</w:t>
      </w:r>
    </w:p>
    <w:p>
      <w:pPr>
        <w:pStyle w:val="ListeParagraf"/>
        <w:bidi/>
        <w:spacing w:after="80"/>
        <w:ind w:left="0" w:right="709"/>
        <w:jc w:val="both"/>
      </w:pPr>
      <w:r>
        <w:rPr>
          <w:rFonts w:ascii="Calibri" w:hAnsi="Calibri" w:cs="Arial"/>
          <w:rtl/>
          <w:sz w:val="24"/>
          <w:szCs w:val="24"/>
        </w:rPr>
        <w:t xml:space="preserve">3.3. يبلغ مديرو الأقسام ممثل نظام الإدارة بحالة إجراءاتهم كل ثلاثة أشهر.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الفعالية</w:t>
      </w:r>
    </w:p>
    <w:p>
      <w:pPr>
        <w:pStyle w:val="ListeParagraf"/>
        <w:bidi/>
        <w:spacing w:after="80"/>
        <w:ind w:left="0" w:right="709"/>
        <w:jc w:val="both"/>
      </w:pPr>
      <w:r>
        <w:rPr>
          <w:rFonts w:ascii="Calibri" w:hAnsi="Calibri" w:cs="Arial"/>
          <w:rtl/>
          <w:sz w:val="24"/>
          <w:szCs w:val="24"/>
        </w:rPr>
        <w:t xml:space="preserve">4.1. بعد إنجاز الإجراء يُعاد تقييم درجة الخطر؛ ويُعتبر الإجراء فعالًا إذا انخفضت الدرجة المتبقية إلى مستوى مقبول.</w:t>
      </w:r>
    </w:p>
    <w:p>
      <w:pPr>
        <w:pStyle w:val="ListeParagraf"/>
        <w:bidi/>
        <w:spacing w:after="80"/>
        <w:ind w:left="0" w:right="709"/>
        <w:jc w:val="both"/>
      </w:pPr>
      <w:r>
        <w:rPr>
          <w:rFonts w:ascii="Calibri" w:hAnsi="Calibri" w:cs="Arial"/>
          <w:rtl/>
          <w:sz w:val="24"/>
          <w:szCs w:val="24"/>
        </w:rPr>
        <w:t xml:space="preserve">4.2. إذا لم يكن الإجراء فعالًا، يُحدد إجراء جديد وتُرفع الحالة إلى المدير العام.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المراجعة والتحديث</w:t>
      </w:r>
    </w:p>
    <w:p>
      <w:pPr>
        <w:pStyle w:val="ListeParagraf"/>
        <w:bidi/>
        <w:spacing w:after="80"/>
        <w:ind w:left="0" w:right="709"/>
        <w:jc w:val="both"/>
      </w:pPr>
      <w:r>
        <w:rPr>
          <w:rFonts w:ascii="Calibri" w:hAnsi="Calibri" w:cs="Arial"/>
          <w:rtl/>
          <w:sz w:val="24"/>
          <w:szCs w:val="24"/>
        </w:rPr>
        <w:t xml:space="preserve">5.1. يُراجع السجل مرة واحدة على الأقل سنويًا، وكذلك بعد أي تغيير هام أو حادث أو شكوى عميل أو ملاحظة تدقيق جسيمة.</w:t>
      </w:r>
    </w:p>
    <w:p>
      <w:pPr>
        <w:pStyle w:val="ListeParagraf"/>
        <w:bidi/>
        <w:spacing w:after="80"/>
        <w:ind w:left="0" w:right="709"/>
        <w:jc w:val="both"/>
      </w:pPr>
      <w:r>
        <w:rPr>
          <w:rFonts w:ascii="Calibri" w:hAnsi="Calibri" w:cs="Arial"/>
          <w:rtl/>
          <w:sz w:val="24"/>
          <w:szCs w:val="24"/>
        </w:rPr>
        <w:t xml:space="preserve">5.2. تُعرض حالة المخاطر والفرص والإجراءات كمدخل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w:t>
      </w:r>
    </w:p>
    <w:p>
      <w:pPr>
        <w:pStyle w:val="ListeParagraf"/>
        <w:numPr>
          <w:ilvl w:val="0"/>
          <w:numId w:val="1"/>
        </w:numPr>
        <w:bidi/>
        <w:spacing w:after="60"/>
        <w:jc w:val="both"/>
      </w:pPr>
      <w:r>
        <w:rPr>
          <w:rFonts w:ascii="Calibri" w:hAnsi="Calibri" w:cs="Arial"/>
          <w:rtl/>
          <w:sz w:val="24"/>
          <w:szCs w:val="24"/>
        </w:rPr>
        <w:t xml:space="preserve">عدد المخاطر المرتفعة المفتوحة واتجاهها،</w:t>
      </w:r>
    </w:p>
    <w:p>
      <w:pPr>
        <w:pStyle w:val="ListeParagraf"/>
        <w:numPr>
          <w:ilvl w:val="0"/>
          <w:numId w:val="1"/>
        </w:numPr>
        <w:bidi/>
        <w:spacing w:after="60"/>
        <w:jc w:val="both"/>
      </w:pPr>
      <w:r>
        <w:rPr>
          <w:rFonts w:ascii="Calibri" w:hAnsi="Calibri" w:cs="Arial"/>
          <w:rtl/>
          <w:sz w:val="24"/>
          <w:szCs w:val="24"/>
        </w:rPr>
        <w:t xml:space="preserve">نسبة الإجراءات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نسبة الإجراءات التي ثبتت فعاليتها عند إعادة التقييم،</w:t>
      </w:r>
    </w:p>
    <w:p>
      <w:pPr>
        <w:pStyle w:val="ListeParagraf"/>
        <w:numPr>
          <w:ilvl w:val="0"/>
          <w:numId w:val="1"/>
        </w:numPr>
        <w:bidi/>
        <w:spacing w:after="60"/>
        <w:jc w:val="both"/>
      </w:pPr>
      <w:r>
        <w:rPr>
          <w:rFonts w:ascii="Calibri" w:hAnsi="Calibri" w:cs="Arial"/>
          <w:rtl/>
          <w:sz w:val="24"/>
          <w:szCs w:val="24"/>
        </w:rPr>
        <w:t xml:space="preserve">عدد الفرص التي تم تحقيقها خلال العام.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المخاطر والفرص</w:t>
      </w:r>
    </w:p>
    <w:p>
      <w:pPr>
        <w:pStyle w:val="ListeParagraf"/>
        <w:numPr>
          <w:ilvl w:val="0"/>
          <w:numId w:val="1"/>
        </w:numPr>
        <w:bidi/>
        <w:spacing w:after="60"/>
        <w:jc w:val="both"/>
      </w:pPr>
      <w:r>
        <w:rPr>
          <w:rFonts w:ascii="Calibri" w:hAnsi="Calibri" w:cs="Arial"/>
          <w:rtl/>
          <w:sz w:val="24"/>
          <w:szCs w:val="24"/>
        </w:rPr>
        <w:t xml:space="preserve">قائمة متابعة الإجراءات</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EMS.ÇV.PRO.19.01. إجراء تقييم الجوانب والآثار البيئية</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EMS.İD.PRO.03.06. إجراء تقييم المخاطر الأمنية وأمن الأفراد</w:t>
      </w:r>
    </w:p>
    <w:p>
      <w:pPr>
        <w:pStyle w:val="ListeParagraf"/>
        <w:numPr>
          <w:ilvl w:val="0"/>
          <w:numId w:val="1"/>
        </w:numPr>
        <w:bidi/>
        <w:spacing w:after="60"/>
        <w:jc w:val="both"/>
      </w:pPr>
      <w:r>
        <w:rPr>
          <w:rFonts w:ascii="Calibri" w:hAnsi="Calibri" w:cs="Arial"/>
          <w:rtl/>
          <w:sz w:val="24"/>
          <w:szCs w:val="24"/>
        </w:rPr>
        <w:t xml:space="preserve">EMS OHS SP10 إدارة التغيير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مديري الأقسام ونتائج التدقيق والتغيرات في السياق،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RISKS AND OPPORTUNITIES PROCEDURE</w:t>
          </w:r>
        </w:p>
        <w:p>
          <w:pPr>
            <w:pStyle w:val="GvdeMetni2"/>
            <w:bidi/>
            <w:spacing w:line="276" w:lineRule="auto"/>
            <w:jc w:val="center"/>
          </w:pPr>
          <w:r>
            <w:rPr>
              <w:rFonts w:asciiTheme="minorHAnsi" w:hAnsiTheme="minorHAnsi" w:cs="Arial"/>
              <w:b/>
              <w:bCs/>
              <w:color w:val="000000" w:themeColor="text1"/>
              <w:sz w:val="22"/>
              <w:szCs w:val="22"/>
              <w:rtl/>
            </w:rPr>
            <w:t>إجراء المخاطر والفرص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EMS.YS.PRO.11.04. RISKS AND OPPORTUNITIES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