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top management of Eroglu Knitting (EMS) reviews the integrated management system at planned intervals to ensure its continuing suitability, adequacy, effectiveness and alignment with the strategic direction of the Company, in line with ISO 9001, ISO 14001 and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planning, inputs, conduct, outputs and follow-up of management review meetings for quality, environment, occupational health and safety, social compliance, chemical management, sustainability and supply chain security.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Chairs the management review, takes decisions and allocates the resources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Representative:</w:t>
      </w:r>
      <w:r>
        <w:rPr>
          <w:rFonts w:ascii="Calibri" w:hAnsi="Calibri" w:cs="Arial"/>
          <w:sz w:val="24"/>
          <w:szCs w:val="24"/>
        </w:rPr>
        <w:t xml:space="preserve"> Plans the meeting, collects and consolidates the inputs, prepares the minutes and follows up the decisions.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Prepare and present the performance data of their areas and implement the decisions assigned to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Representatives / OHS Committee:</w:t>
      </w:r>
      <w:r>
        <w:rPr>
          <w:rFonts w:ascii="Calibri" w:hAnsi="Calibri" w:cs="Arial"/>
          <w:sz w:val="24"/>
          <w:szCs w:val="24"/>
        </w:rPr>
        <w:t xml:space="preserve"> Provide employee feedback and OHS consultation results as inputs to the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Review:</w:t>
      </w:r>
      <w:r>
        <w:rPr>
          <w:rFonts w:ascii="Calibri" w:hAnsi="Calibri" w:cs="Arial"/>
          <w:sz w:val="24"/>
          <w:szCs w:val="24"/>
        </w:rPr>
        <w:t xml:space="preserve"> A formal, documented evaluation of the management system by top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Review Input:</w:t>
      </w:r>
      <w:r>
        <w:rPr>
          <w:rFonts w:ascii="Calibri" w:hAnsi="Calibri" w:cs="Arial"/>
          <w:sz w:val="24"/>
          <w:szCs w:val="24"/>
        </w:rPr>
        <w:t xml:space="preserve"> Information that must be considered during the review (performance, audit results, changes, resources, risks).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Review Output:</w:t>
      </w:r>
      <w:r>
        <w:rPr>
          <w:rFonts w:ascii="Calibri" w:hAnsi="Calibri" w:cs="Arial"/>
          <w:sz w:val="24"/>
          <w:szCs w:val="24"/>
        </w:rPr>
        <w:t xml:space="preserve"> Decisions and actions resulting from the review, related to improvement, changes to the system and resource needs.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PLANNING</w:t>
      </w:r>
    </w:p>
    <w:p>
      <w:pPr>
        <w:pStyle w:val="ListeParagraf"/>
        <w:spacing w:after="80"/>
        <w:ind w:left="709" w:right="0"/>
        <w:jc w:val="both"/>
      </w:pPr>
      <w:r>
        <w:rPr>
          <w:rFonts w:ascii="Calibri" w:hAnsi="Calibri" w:cs="Arial"/>
          <w:sz w:val="24"/>
          <w:szCs w:val="24"/>
        </w:rPr>
        <w:t xml:space="preserve">1.1. Management review is held at least once a year, normally in the first quarter, and additionally when a significant change, major incident or serious customer or certification finding occurs.</w:t>
      </w:r>
    </w:p>
    <w:p>
      <w:pPr>
        <w:pStyle w:val="ListeParagraf"/>
        <w:spacing w:after="80"/>
        <w:ind w:left="709" w:right="0"/>
        <w:jc w:val="both"/>
      </w:pPr>
      <w:r>
        <w:rPr>
          <w:rFonts w:ascii="Calibri" w:hAnsi="Calibri" w:cs="Arial"/>
          <w:sz w:val="24"/>
          <w:szCs w:val="24"/>
        </w:rPr>
        <w:t xml:space="preserve">1.2. The Management System Representative issues the meeting plan and the input template to department managers at least three weeks before the meeting.</w:t>
      </w:r>
    </w:p>
    <w:p>
      <w:pPr>
        <w:pStyle w:val="ListeParagraf"/>
        <w:spacing w:after="80"/>
        <w:ind w:left="709" w:right="0"/>
        <w:jc w:val="both"/>
      </w:pPr>
      <w:r>
        <w:rPr>
          <w:rFonts w:ascii="Calibri" w:hAnsi="Calibri" w:cs="Arial"/>
          <w:sz w:val="24"/>
          <w:szCs w:val="24"/>
        </w:rPr>
        <w:t xml:space="preserve">1.3. Participants include the General Manager, the Management System Representative, the managers of production, dyehouse, quality, HR, HSE, CSR, purchasing, warehouse, maintenance and finance, and a worker representative for OHS and social topics.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 INPUTS</w:t>
      </w:r>
    </w:p>
    <w:p>
      <w:pPr>
        <w:pStyle w:val="ListeParagraf"/>
        <w:spacing w:after="80"/>
        <w:ind w:left="709" w:right="0"/>
        <w:jc w:val="both"/>
      </w:pPr>
      <w:r>
        <w:rPr>
          <w:rFonts w:ascii="Calibri" w:hAnsi="Calibri" w:cs="Arial"/>
          <w:sz w:val="24"/>
          <w:szCs w:val="24"/>
        </w:rPr>
        <w:t xml:space="preserve">2.1. The review considers at least the following inputs:</w:t>
      </w:r>
    </w:p>
    <w:p>
      <w:pPr>
        <w:pStyle w:val="ListeParagraf"/>
        <w:numPr>
          <w:ilvl w:val="0"/>
          <w:numId w:val="1"/>
        </w:numPr>
        <w:spacing w:after="60"/>
        <w:jc w:val="both"/>
      </w:pPr>
      <w:r>
        <w:rPr>
          <w:rFonts w:ascii="Calibri" w:hAnsi="Calibri" w:cs="Arial"/>
          <w:sz w:val="24"/>
          <w:szCs w:val="24"/>
        </w:rPr>
        <w:t xml:space="preserve">Status of actions from previous management reviews,</w:t>
      </w:r>
    </w:p>
    <w:p>
      <w:pPr>
        <w:pStyle w:val="ListeParagraf"/>
        <w:numPr>
          <w:ilvl w:val="0"/>
          <w:numId w:val="1"/>
        </w:numPr>
        <w:spacing w:after="60"/>
        <w:jc w:val="both"/>
      </w:pPr>
      <w:r>
        <w:rPr>
          <w:rFonts w:ascii="Calibri" w:hAnsi="Calibri" w:cs="Arial"/>
          <w:sz w:val="24"/>
          <w:szCs w:val="24"/>
        </w:rPr>
        <w:t xml:space="preserve">Changes in internal and external issues, interested party requirements and compliance obligations,</w:t>
      </w:r>
    </w:p>
    <w:p>
      <w:pPr>
        <w:pStyle w:val="ListeParagraf"/>
        <w:numPr>
          <w:ilvl w:val="0"/>
          <w:numId w:val="1"/>
        </w:numPr>
        <w:spacing w:after="60"/>
        <w:jc w:val="both"/>
      </w:pPr>
      <w:r>
        <w:rPr>
          <w:rFonts w:ascii="Calibri" w:hAnsi="Calibri" w:cs="Arial"/>
          <w:sz w:val="24"/>
          <w:szCs w:val="24"/>
        </w:rPr>
        <w:t xml:space="preserve">Customer satisfaction, complaints and feedback from interested parties,</w:t>
      </w:r>
    </w:p>
    <w:p>
      <w:pPr>
        <w:pStyle w:val="ListeParagraf"/>
        <w:numPr>
          <w:ilvl w:val="0"/>
          <w:numId w:val="1"/>
        </w:numPr>
        <w:spacing w:after="60"/>
        <w:jc w:val="both"/>
      </w:pPr>
      <w:r>
        <w:rPr>
          <w:rFonts w:ascii="Calibri" w:hAnsi="Calibri" w:cs="Arial"/>
          <w:sz w:val="24"/>
          <w:szCs w:val="24"/>
        </w:rPr>
        <w:t xml:space="preserve">Achievement of quality, environmental, OHS and sustainability objectives and KPIs,</w:t>
      </w:r>
    </w:p>
    <w:p>
      <w:pPr>
        <w:pStyle w:val="ListeParagraf"/>
        <w:numPr>
          <w:ilvl w:val="0"/>
          <w:numId w:val="1"/>
        </w:numPr>
        <w:spacing w:after="60"/>
        <w:jc w:val="both"/>
      </w:pPr>
      <w:r>
        <w:rPr>
          <w:rFonts w:ascii="Calibri" w:hAnsi="Calibri" w:cs="Arial"/>
          <w:sz w:val="24"/>
          <w:szCs w:val="24"/>
        </w:rPr>
        <w:t xml:space="preserve">Process performance and product conformity (defect rates, AQL results, RSL test results),</w:t>
      </w:r>
    </w:p>
    <w:p>
      <w:pPr>
        <w:pStyle w:val="ListeParagraf"/>
        <w:numPr>
          <w:ilvl w:val="0"/>
          <w:numId w:val="1"/>
        </w:numPr>
        <w:spacing w:after="60"/>
        <w:jc w:val="both"/>
      </w:pPr>
      <w:r>
        <w:rPr>
          <w:rFonts w:ascii="Calibri" w:hAnsi="Calibri" w:cs="Arial"/>
          <w:sz w:val="24"/>
          <w:szCs w:val="24"/>
        </w:rPr>
        <w:t xml:space="preserve">Nonconformities, corrective actions, incidents and accidents, and the results of OHS consultation,</w:t>
      </w:r>
    </w:p>
    <w:p>
      <w:pPr>
        <w:pStyle w:val="ListeParagraf"/>
        <w:numPr>
          <w:ilvl w:val="0"/>
          <w:numId w:val="1"/>
        </w:numPr>
        <w:spacing w:after="60"/>
        <w:jc w:val="both"/>
      </w:pPr>
      <w:r>
        <w:rPr>
          <w:rFonts w:ascii="Calibri" w:hAnsi="Calibri" w:cs="Arial"/>
          <w:sz w:val="24"/>
          <w:szCs w:val="24"/>
        </w:rPr>
        <w:t xml:space="preserve">Results of internal audits, customer and social compliance audits and certification audits,</w:t>
      </w:r>
    </w:p>
    <w:p>
      <w:pPr>
        <w:pStyle w:val="ListeParagraf"/>
        <w:numPr>
          <w:ilvl w:val="0"/>
          <w:numId w:val="1"/>
        </w:numPr>
        <w:spacing w:after="60"/>
        <w:jc w:val="both"/>
      </w:pPr>
      <w:r>
        <w:rPr>
          <w:rFonts w:ascii="Calibri" w:hAnsi="Calibri" w:cs="Arial"/>
          <w:sz w:val="24"/>
          <w:szCs w:val="24"/>
        </w:rPr>
        <w:t xml:space="preserve">Environmental performance (energy, water, wastewater, waste, emissions, chemicals),</w:t>
      </w:r>
    </w:p>
    <w:p>
      <w:pPr>
        <w:pStyle w:val="ListeParagraf"/>
        <w:numPr>
          <w:ilvl w:val="0"/>
          <w:numId w:val="1"/>
        </w:numPr>
        <w:spacing w:after="60"/>
        <w:jc w:val="both"/>
      </w:pPr>
      <w:r>
        <w:rPr>
          <w:rFonts w:ascii="Calibri" w:hAnsi="Calibri" w:cs="Arial"/>
          <w:sz w:val="24"/>
          <w:szCs w:val="24"/>
        </w:rPr>
        <w:t xml:space="preserve">Performance of external providers and subcontractors,</w:t>
      </w:r>
    </w:p>
    <w:p>
      <w:pPr>
        <w:pStyle w:val="ListeParagraf"/>
        <w:numPr>
          <w:ilvl w:val="0"/>
          <w:numId w:val="1"/>
        </w:numPr>
        <w:spacing w:after="60"/>
        <w:jc w:val="both"/>
      </w:pPr>
      <w:r>
        <w:rPr>
          <w:rFonts w:ascii="Calibri" w:hAnsi="Calibri" w:cs="Arial"/>
          <w:sz w:val="24"/>
          <w:szCs w:val="24"/>
        </w:rPr>
        <w:t xml:space="preserve">Adequacy of resources, risks and opportunities and the effectiveness of related actions,</w:t>
      </w:r>
    </w:p>
    <w:p>
      <w:pPr>
        <w:pStyle w:val="ListeParagraf"/>
        <w:numPr>
          <w:ilvl w:val="0"/>
          <w:numId w:val="1"/>
        </w:numPr>
        <w:spacing w:after="60"/>
        <w:jc w:val="both"/>
      </w:pPr>
      <w:r>
        <w:rPr>
          <w:rFonts w:ascii="Calibri" w:hAnsi="Calibri" w:cs="Arial"/>
          <w:sz w:val="24"/>
          <w:szCs w:val="24"/>
        </w:rPr>
        <w:t xml:space="preserve">Opportunities for improvement.</w:t>
      </w:r>
    </w:p>
    <w:p>
      <w:pPr>
        <w:pStyle w:val="ListeParagraf"/>
        <w:spacing w:after="80"/>
        <w:ind w:left="709" w:right="0"/>
        <w:jc w:val="both"/>
      </w:pPr>
      <w:r>
        <w:rPr>
          <w:rFonts w:ascii="Calibri" w:hAnsi="Calibri" w:cs="Arial"/>
          <w:sz w:val="24"/>
          <w:szCs w:val="24"/>
        </w:rPr>
        <w:t xml:space="preserve">2.2. Inputs are prepared on the standard template with data and trends for the last 12 months and sent to the Management System Representative one week before the meeting.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MEETING</w:t>
      </w:r>
    </w:p>
    <w:p>
      <w:pPr>
        <w:pStyle w:val="ListeParagraf"/>
        <w:spacing w:after="80"/>
        <w:ind w:left="709" w:right="0"/>
        <w:jc w:val="both"/>
      </w:pPr>
      <w:r>
        <w:rPr>
          <w:rFonts w:ascii="Calibri" w:hAnsi="Calibri" w:cs="Arial"/>
          <w:sz w:val="24"/>
          <w:szCs w:val="24"/>
        </w:rPr>
        <w:t xml:space="preserve">3.1. The General Manager chairs the meeting; each department manager presents its inputs and proposals.</w:t>
      </w:r>
    </w:p>
    <w:p>
      <w:pPr>
        <w:pStyle w:val="ListeParagraf"/>
        <w:spacing w:after="80"/>
        <w:ind w:left="709" w:right="0"/>
        <w:jc w:val="both"/>
      </w:pPr>
      <w:r>
        <w:rPr>
          <w:rFonts w:ascii="Calibri" w:hAnsi="Calibri" w:cs="Arial"/>
          <w:sz w:val="24"/>
          <w:szCs w:val="24"/>
        </w:rPr>
        <w:t xml:space="preserve">3.2. The participants evaluate whether the system is suitable, adequate and effective, and whether the policies and objectives are still appropriate.</w:t>
      </w:r>
    </w:p>
    <w:p>
      <w:pPr>
        <w:pStyle w:val="ListeParagraf"/>
        <w:spacing w:after="80"/>
        <w:ind w:left="709" w:right="0"/>
        <w:jc w:val="both"/>
      </w:pPr>
      <w:r>
        <w:rPr>
          <w:rFonts w:ascii="Calibri" w:hAnsi="Calibri" w:cs="Arial"/>
          <w:sz w:val="24"/>
          <w:szCs w:val="24"/>
        </w:rPr>
        <w:t xml:space="preserve">3.3. Attendance is recorded on the attendance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REVIEW OUTPUTS AND DECISIONS</w:t>
      </w:r>
    </w:p>
    <w:p>
      <w:pPr>
        <w:pStyle w:val="ListeParagraf"/>
        <w:spacing w:after="80"/>
        <w:ind w:left="709" w:right="0"/>
        <w:jc w:val="both"/>
      </w:pPr>
      <w:r>
        <w:rPr>
          <w:rFonts w:ascii="Calibri" w:hAnsi="Calibri" w:cs="Arial"/>
          <w:sz w:val="24"/>
          <w:szCs w:val="24"/>
        </w:rPr>
        <w:t xml:space="preserve">4.1. The review outputs include decisions and actions on:</w:t>
      </w:r>
    </w:p>
    <w:p>
      <w:pPr>
        <w:pStyle w:val="ListeParagraf"/>
        <w:numPr>
          <w:ilvl w:val="0"/>
          <w:numId w:val="1"/>
        </w:numPr>
        <w:spacing w:after="60"/>
        <w:jc w:val="both"/>
      </w:pPr>
      <w:r>
        <w:rPr>
          <w:rFonts w:ascii="Calibri" w:hAnsi="Calibri" w:cs="Arial"/>
          <w:sz w:val="24"/>
          <w:szCs w:val="24"/>
        </w:rPr>
        <w:t xml:space="preserve">Opportunities for continual improvement,</w:t>
      </w:r>
    </w:p>
    <w:p>
      <w:pPr>
        <w:pStyle w:val="ListeParagraf"/>
        <w:numPr>
          <w:ilvl w:val="0"/>
          <w:numId w:val="1"/>
        </w:numPr>
        <w:spacing w:after="60"/>
        <w:jc w:val="both"/>
      </w:pPr>
      <w:r>
        <w:rPr>
          <w:rFonts w:ascii="Calibri" w:hAnsi="Calibri" w:cs="Arial"/>
          <w:sz w:val="24"/>
          <w:szCs w:val="24"/>
        </w:rPr>
        <w:t xml:space="preserve">Any changes needed to the management system, policies, objectives and processes,</w:t>
      </w:r>
    </w:p>
    <w:p>
      <w:pPr>
        <w:pStyle w:val="ListeParagraf"/>
        <w:numPr>
          <w:ilvl w:val="0"/>
          <w:numId w:val="1"/>
        </w:numPr>
        <w:spacing w:after="60"/>
        <w:jc w:val="both"/>
      </w:pPr>
      <w:r>
        <w:rPr>
          <w:rFonts w:ascii="Calibri" w:hAnsi="Calibri" w:cs="Arial"/>
          <w:sz w:val="24"/>
          <w:szCs w:val="24"/>
        </w:rPr>
        <w:t xml:space="preserve">Resource needs (personnel, training, equipment, budget),</w:t>
      </w:r>
    </w:p>
    <w:p>
      <w:pPr>
        <w:pStyle w:val="ListeParagraf"/>
        <w:numPr>
          <w:ilvl w:val="0"/>
          <w:numId w:val="1"/>
        </w:numPr>
        <w:spacing w:after="60"/>
        <w:jc w:val="both"/>
      </w:pPr>
      <w:r>
        <w:rPr>
          <w:rFonts w:ascii="Calibri" w:hAnsi="Calibri" w:cs="Arial"/>
          <w:sz w:val="24"/>
          <w:szCs w:val="24"/>
        </w:rPr>
        <w:t xml:space="preserve">Actions where objectives have not been achieved,</w:t>
      </w:r>
    </w:p>
    <w:p>
      <w:pPr>
        <w:pStyle w:val="ListeParagraf"/>
        <w:numPr>
          <w:ilvl w:val="0"/>
          <w:numId w:val="1"/>
        </w:numPr>
        <w:spacing w:after="60"/>
        <w:jc w:val="both"/>
      </w:pPr>
      <w:r>
        <w:rPr>
          <w:rFonts w:ascii="Calibri" w:hAnsi="Calibri" w:cs="Arial"/>
          <w:sz w:val="24"/>
          <w:szCs w:val="24"/>
        </w:rPr>
        <w:t xml:space="preserve">Implications for the strategic direction of the Company.</w:t>
      </w:r>
    </w:p>
    <w:p>
      <w:pPr>
        <w:pStyle w:val="ListeParagraf"/>
        <w:spacing w:after="80"/>
        <w:ind w:left="709" w:right="0"/>
        <w:jc w:val="both"/>
      </w:pPr>
      <w:r>
        <w:rPr>
          <w:rFonts w:ascii="Calibri" w:hAnsi="Calibri" w:cs="Arial"/>
          <w:sz w:val="24"/>
          <w:szCs w:val="24"/>
        </w:rPr>
        <w:t xml:space="preserve">4.2. Each action is recorded with a responsible person and deadline in the Management Review Minutes and Action Plan.</w:t>
      </w:r>
    </w:p>
    <w:p>
      <w:pPr>
        <w:pStyle w:val="ListeParagraf"/>
        <w:spacing w:after="80"/>
        <w:ind w:left="709" w:right="0"/>
        <w:jc w:val="both"/>
      </w:pPr>
      <w:r>
        <w:rPr>
          <w:rFonts w:ascii="Calibri" w:hAnsi="Calibri" w:cs="Arial"/>
          <w:sz w:val="24"/>
          <w:szCs w:val="24"/>
        </w:rPr>
        <w:t xml:space="preserve">4.3. The minutes are approved by the General Manager and distributed to participants within ten working days; relevant results are communicated to employees and worker representatives.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FOLLOW-UP</w:t>
      </w:r>
    </w:p>
    <w:p>
      <w:pPr>
        <w:pStyle w:val="ListeParagraf"/>
        <w:spacing w:after="80"/>
        <w:ind w:left="709" w:right="0"/>
        <w:jc w:val="both"/>
      </w:pPr>
      <w:r>
        <w:rPr>
          <w:rFonts w:ascii="Calibri" w:hAnsi="Calibri" w:cs="Arial"/>
          <w:sz w:val="24"/>
          <w:szCs w:val="24"/>
        </w:rPr>
        <w:t xml:space="preserve">5.1. The Management System Representative follows up the actions every quarter and reports overdue actions to the General Manager.</w:t>
      </w:r>
    </w:p>
    <w:p>
      <w:pPr>
        <w:pStyle w:val="ListeParagraf"/>
        <w:spacing w:after="80"/>
        <w:ind w:left="709" w:right="0"/>
        <w:jc w:val="both"/>
      </w:pPr>
      <w:r>
        <w:rPr>
          <w:rFonts w:ascii="Calibri" w:hAnsi="Calibri" w:cs="Arial"/>
          <w:sz w:val="24"/>
          <w:szCs w:val="24"/>
        </w:rPr>
        <w:t xml:space="preserve">5.2. The status of the actions is the first input of the next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following indicators are monitored:</w:t>
      </w:r>
    </w:p>
    <w:p>
      <w:pPr>
        <w:pStyle w:val="ListeParagraf"/>
        <w:numPr>
          <w:ilvl w:val="0"/>
          <w:numId w:val="1"/>
        </w:numPr>
        <w:spacing w:after="60"/>
        <w:jc w:val="both"/>
      </w:pPr>
      <w:r>
        <w:rPr>
          <w:rFonts w:ascii="Calibri" w:hAnsi="Calibri" w:cs="Arial"/>
          <w:sz w:val="24"/>
          <w:szCs w:val="24"/>
        </w:rPr>
        <w:t xml:space="preserve">Management review held as planned with all required inputs,</w:t>
      </w:r>
    </w:p>
    <w:p>
      <w:pPr>
        <w:pStyle w:val="ListeParagraf"/>
        <w:numPr>
          <w:ilvl w:val="0"/>
          <w:numId w:val="1"/>
        </w:numPr>
        <w:spacing w:after="60"/>
        <w:jc w:val="both"/>
      </w:pPr>
      <w:r>
        <w:rPr>
          <w:rFonts w:ascii="Calibri" w:hAnsi="Calibri" w:cs="Arial"/>
          <w:sz w:val="24"/>
          <w:szCs w:val="24"/>
        </w:rPr>
        <w:t xml:space="preserve">Percentage of review actions completed on time (target: at least 90%),</w:t>
      </w:r>
    </w:p>
    <w:p>
      <w:pPr>
        <w:pStyle w:val="ListeParagraf"/>
        <w:numPr>
          <w:ilvl w:val="0"/>
          <w:numId w:val="1"/>
        </w:numPr>
        <w:spacing w:after="60"/>
        <w:jc w:val="both"/>
      </w:pPr>
      <w:r>
        <w:rPr>
          <w:rFonts w:ascii="Calibri" w:hAnsi="Calibri" w:cs="Arial"/>
          <w:sz w:val="24"/>
          <w:szCs w:val="24"/>
        </w:rPr>
        <w:t xml:space="preserve">Number of objectives achieved compared with the previous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Management Review Input Template</w:t>
      </w:r>
    </w:p>
    <w:p>
      <w:pPr>
        <w:pStyle w:val="ListeParagraf"/>
        <w:numPr>
          <w:ilvl w:val="0"/>
          <w:numId w:val="1"/>
        </w:numPr>
        <w:spacing w:after="60"/>
        <w:jc w:val="both"/>
      </w:pPr>
      <w:r>
        <w:rPr>
          <w:rFonts w:ascii="Calibri" w:hAnsi="Calibri" w:cs="Arial"/>
          <w:sz w:val="24"/>
          <w:szCs w:val="24"/>
        </w:rPr>
        <w:t xml:space="preserve">Management Review Minutes and Action Plan</w:t>
      </w:r>
    </w:p>
    <w:p>
      <w:pPr>
        <w:pStyle w:val="ListeParagraf"/>
        <w:numPr>
          <w:ilvl w:val="0"/>
          <w:numId w:val="1"/>
        </w:numPr>
        <w:spacing w:after="60"/>
        <w:jc w:val="both"/>
      </w:pPr>
      <w:r>
        <w:rPr>
          <w:rFonts w:ascii="Calibri" w:hAnsi="Calibri" w:cs="Arial"/>
          <w:sz w:val="24"/>
          <w:szCs w:val="24"/>
        </w:rPr>
        <w:t xml:space="preserve">Attendance List</w:t>
      </w:r>
    </w:p>
    <w:p>
      <w:pPr>
        <w:pStyle w:val="ListeParagraf"/>
        <w:numPr>
          <w:ilvl w:val="0"/>
          <w:numId w:val="1"/>
        </w:numPr>
        <w:spacing w:after="60"/>
        <w:jc w:val="both"/>
      </w:pPr>
      <w:r>
        <w:rPr>
          <w:rFonts w:ascii="Calibri" w:hAnsi="Calibri" w:cs="Arial"/>
          <w:sz w:val="24"/>
          <w:szCs w:val="24"/>
        </w:rPr>
        <w:t xml:space="preserve">EMS.YS.POL.11.01. Integrated Management System Policy</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 OHS SP14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Management System Representative. Feedback from participants and audit results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الإدارة العليا لشركة إيروغلو للتريكو (EMS) بمراجعة نظام الإدارة المتكامل على فترات مخططة لضمان استمرار ملاءمته وكفايته وفعاليته وتوافقه مع التوجه الاستراتيجي للشركة، بما يتوافق مع ISO 9001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تخطيط اجتماعات مراجعة الإدارة ومدخلاتها وانعقادها ومخرجاتها ومتابعتها، في مجالات الجودة والبيئة والصحة والسلامة المهنية والامتثال الاجتماعي وإدارة الكيماويات والاستدامة وأمن سلسلة التوريد.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يرأس مراجعة الإدارة، ويتخذ القرارات، ويخصص الموارد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نظام الإدارة:</w:t>
      </w:r>
      <w:r>
        <w:rPr>
          <w:rFonts w:ascii="Calibri" w:hAnsi="Calibri" w:cs="Arial"/>
          <w:rtl/>
          <w:sz w:val="24"/>
          <w:szCs w:val="24"/>
        </w:rPr>
        <w:t xml:space="preserve"> يخطط للاجتماع، ويجمع المدخلات ويوحدها، ويعد المحضر، ويتابع القرارات.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يعدون بيانات أداء مجالاتهم ويعرضونها، وينفذون القرارات المسندة إليهم.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ممثلو العمال / لجنة الصحة والسلامة المهنية:</w:t>
      </w:r>
      <w:r>
        <w:rPr>
          <w:rFonts w:ascii="Calibri" w:hAnsi="Calibri" w:cs="Arial"/>
          <w:rtl/>
          <w:sz w:val="24"/>
          <w:szCs w:val="24"/>
        </w:rPr>
        <w:t xml:space="preserve"> يقدمون ملاحظات الموظفين ونتائج التشاور في مجال الصحة والسلامة المهنية كمدخلات للمراجعة.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الإدارة:</w:t>
      </w:r>
      <w:r>
        <w:rPr>
          <w:rFonts w:ascii="Calibri" w:hAnsi="Calibri" w:cs="Arial"/>
          <w:rtl/>
          <w:sz w:val="24"/>
          <w:szCs w:val="24"/>
        </w:rPr>
        <w:t xml:space="preserve"> تقييم رسمي وموثق لنظام الإدارة تقوم به الإدارة العليا.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مدخل المراجعة:</w:t>
      </w:r>
      <w:r>
        <w:rPr>
          <w:rFonts w:ascii="Calibri" w:hAnsi="Calibri" w:cs="Arial"/>
          <w:rtl/>
          <w:sz w:val="24"/>
          <w:szCs w:val="24"/>
        </w:rPr>
        <w:t xml:space="preserve"> معلومات يجب أخذها في الاعتبار أثناء المراجعة (الأداء، ونتائج التدقيق، والتغييرات، والموارد، والمخاطر).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مخرج المراجعة:</w:t>
      </w:r>
      <w:r>
        <w:rPr>
          <w:rFonts w:ascii="Calibri" w:hAnsi="Calibri" w:cs="Arial"/>
          <w:rtl/>
          <w:sz w:val="24"/>
          <w:szCs w:val="24"/>
        </w:rPr>
        <w:t xml:space="preserve"> القرارات والإجراءات الناتجة عن المراجعة والمتعلقة بالتحسين والتغييرات في النظام واحتياجات الموارد.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التخطيط</w:t>
      </w:r>
    </w:p>
    <w:p>
      <w:pPr>
        <w:pStyle w:val="ListeParagraf"/>
        <w:bidi/>
        <w:spacing w:after="80"/>
        <w:ind w:left="0" w:right="709"/>
        <w:jc w:val="both"/>
      </w:pPr>
      <w:r>
        <w:rPr>
          <w:rFonts w:ascii="Calibri" w:hAnsi="Calibri" w:cs="Arial"/>
          <w:rtl/>
          <w:sz w:val="24"/>
          <w:szCs w:val="24"/>
        </w:rPr>
        <w:t xml:space="preserve">1.1. تُعقد مراجعة الإدارة مرة واحدة على الأقل سنويًا، عادة في الربع الأول، وكذلك عند حدوث تغيير هام أو حادث كبير أو ملاحظة جسيمة من عميل أو جهة اعتماد.</w:t>
      </w:r>
    </w:p>
    <w:p>
      <w:pPr>
        <w:pStyle w:val="ListeParagraf"/>
        <w:bidi/>
        <w:spacing w:after="80"/>
        <w:ind w:left="0" w:right="709"/>
        <w:jc w:val="both"/>
      </w:pPr>
      <w:r>
        <w:rPr>
          <w:rFonts w:ascii="Calibri" w:hAnsi="Calibri" w:cs="Arial"/>
          <w:rtl/>
          <w:sz w:val="24"/>
          <w:szCs w:val="24"/>
        </w:rPr>
        <w:t xml:space="preserve">1.2. يصدر ممثل نظام الإدارة خطة الاجتماع ونموذج المدخلات إلى مديري الأقسام قبل الاجتماع بثلاثة أسابيع على الأقل.</w:t>
      </w:r>
    </w:p>
    <w:p>
      <w:pPr>
        <w:pStyle w:val="ListeParagraf"/>
        <w:bidi/>
        <w:spacing w:after="80"/>
        <w:ind w:left="0" w:right="709"/>
        <w:jc w:val="both"/>
      </w:pPr>
      <w:r>
        <w:rPr>
          <w:rFonts w:ascii="Calibri" w:hAnsi="Calibri" w:cs="Arial"/>
          <w:rtl/>
          <w:sz w:val="24"/>
          <w:szCs w:val="24"/>
        </w:rPr>
        <w:t xml:space="preserve">1.3. يشارك في الاجتماع المدير العام وممثل نظام الإدارة ومديرو الإنتاج والصباغة والجودة والموارد البشرية والصحة والسلامة والبيئة والمسؤولية الاجتماعية والمشتريات والمستودع والصيانة والمالية، وممثل للعمال في موضوعات الصحة والسلامة المهنية والموضوعات الاجتماعية.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مدخلات المراجعة</w:t>
      </w:r>
    </w:p>
    <w:p>
      <w:pPr>
        <w:pStyle w:val="ListeParagraf"/>
        <w:bidi/>
        <w:spacing w:after="80"/>
        <w:ind w:left="0" w:right="709"/>
        <w:jc w:val="both"/>
      </w:pPr>
      <w:r>
        <w:rPr>
          <w:rFonts w:ascii="Calibri" w:hAnsi="Calibri" w:cs="Arial"/>
          <w:rtl/>
          <w:sz w:val="24"/>
          <w:szCs w:val="24"/>
        </w:rPr>
        <w:t xml:space="preserve">2.1. تتناول المراجعة المدخلات التالية كحد أدنى:</w:t>
      </w:r>
    </w:p>
    <w:p>
      <w:pPr>
        <w:pStyle w:val="ListeParagraf"/>
        <w:numPr>
          <w:ilvl w:val="0"/>
          <w:numId w:val="1"/>
        </w:numPr>
        <w:bidi/>
        <w:spacing w:after="60"/>
        <w:jc w:val="both"/>
      </w:pPr>
      <w:r>
        <w:rPr>
          <w:rFonts w:ascii="Calibri" w:hAnsi="Calibri" w:cs="Arial"/>
          <w:rtl/>
          <w:sz w:val="24"/>
          <w:szCs w:val="24"/>
        </w:rPr>
        <w:t xml:space="preserve">حالة الإجراءات الناتجة عن مراجعات الإدارة السابقة،</w:t>
      </w:r>
    </w:p>
    <w:p>
      <w:pPr>
        <w:pStyle w:val="ListeParagraf"/>
        <w:numPr>
          <w:ilvl w:val="0"/>
          <w:numId w:val="1"/>
        </w:numPr>
        <w:bidi/>
        <w:spacing w:after="60"/>
        <w:jc w:val="both"/>
      </w:pPr>
      <w:r>
        <w:rPr>
          <w:rFonts w:ascii="Calibri" w:hAnsi="Calibri" w:cs="Arial"/>
          <w:rtl/>
          <w:sz w:val="24"/>
          <w:szCs w:val="24"/>
        </w:rPr>
        <w:t xml:space="preserve">التغيرات في القضايا الداخلية والخارجية ومتطلبات الأطراف المعنية والالتزامات الامتثالية،</w:t>
      </w:r>
    </w:p>
    <w:p>
      <w:pPr>
        <w:pStyle w:val="ListeParagraf"/>
        <w:numPr>
          <w:ilvl w:val="0"/>
          <w:numId w:val="1"/>
        </w:numPr>
        <w:bidi/>
        <w:spacing w:after="60"/>
        <w:jc w:val="both"/>
      </w:pPr>
      <w:r>
        <w:rPr>
          <w:rFonts w:ascii="Calibri" w:hAnsi="Calibri" w:cs="Arial"/>
          <w:rtl/>
          <w:sz w:val="24"/>
          <w:szCs w:val="24"/>
        </w:rPr>
        <w:t xml:space="preserve">رضا العملاء والشكاوى وملاحظات الأطراف المعنية،</w:t>
      </w:r>
    </w:p>
    <w:p>
      <w:pPr>
        <w:pStyle w:val="ListeParagraf"/>
        <w:numPr>
          <w:ilvl w:val="0"/>
          <w:numId w:val="1"/>
        </w:numPr>
        <w:bidi/>
        <w:spacing w:after="60"/>
        <w:jc w:val="both"/>
      </w:pPr>
      <w:r>
        <w:rPr>
          <w:rFonts w:ascii="Calibri" w:hAnsi="Calibri" w:cs="Arial"/>
          <w:rtl/>
          <w:sz w:val="24"/>
          <w:szCs w:val="24"/>
        </w:rPr>
        <w:t xml:space="preserve">مدى تحقيق أهداف ومؤشرات الجودة والبيئة والصحة والسلامة المهنية والاستدامة،</w:t>
      </w:r>
    </w:p>
    <w:p>
      <w:pPr>
        <w:pStyle w:val="ListeParagraf"/>
        <w:numPr>
          <w:ilvl w:val="0"/>
          <w:numId w:val="1"/>
        </w:numPr>
        <w:bidi/>
        <w:spacing w:after="60"/>
        <w:jc w:val="both"/>
      </w:pPr>
      <w:r>
        <w:rPr>
          <w:rFonts w:ascii="Calibri" w:hAnsi="Calibri" w:cs="Arial"/>
          <w:rtl/>
          <w:sz w:val="24"/>
          <w:szCs w:val="24"/>
        </w:rPr>
        <w:t xml:space="preserve">أداء العمليات ومطابقة المنتج (معدلات العيوب، ونتائج AQL، ونتائج اختبارات RSL)،</w:t>
      </w:r>
    </w:p>
    <w:p>
      <w:pPr>
        <w:pStyle w:val="ListeParagraf"/>
        <w:numPr>
          <w:ilvl w:val="0"/>
          <w:numId w:val="1"/>
        </w:numPr>
        <w:bidi/>
        <w:spacing w:after="60"/>
        <w:jc w:val="both"/>
      </w:pPr>
      <w:r>
        <w:rPr>
          <w:rFonts w:ascii="Calibri" w:hAnsi="Calibri" w:cs="Arial"/>
          <w:rtl/>
          <w:sz w:val="24"/>
          <w:szCs w:val="24"/>
        </w:rPr>
        <w:t xml:space="preserve">حالات عدم المطابقة والإجراءات التصحيحية والحوادث والإصابات ونتائج التشاور في مجال الصحة والسلامة المهنية،</w:t>
      </w:r>
    </w:p>
    <w:p>
      <w:pPr>
        <w:pStyle w:val="ListeParagraf"/>
        <w:numPr>
          <w:ilvl w:val="0"/>
          <w:numId w:val="1"/>
        </w:numPr>
        <w:bidi/>
        <w:spacing w:after="60"/>
        <w:jc w:val="both"/>
      </w:pPr>
      <w:r>
        <w:rPr>
          <w:rFonts w:ascii="Calibri" w:hAnsi="Calibri" w:cs="Arial"/>
          <w:rtl/>
          <w:sz w:val="24"/>
          <w:szCs w:val="24"/>
        </w:rPr>
        <w:t xml:space="preserve">نتائج التدقيق الداخلي وتدقيقات العملاء والامتثال الاجتماعي وتدقيقات الاعتماد،</w:t>
      </w:r>
    </w:p>
    <w:p>
      <w:pPr>
        <w:pStyle w:val="ListeParagraf"/>
        <w:numPr>
          <w:ilvl w:val="0"/>
          <w:numId w:val="1"/>
        </w:numPr>
        <w:bidi/>
        <w:spacing w:after="60"/>
        <w:jc w:val="both"/>
      </w:pPr>
      <w:r>
        <w:rPr>
          <w:rFonts w:ascii="Calibri" w:hAnsi="Calibri" w:cs="Arial"/>
          <w:rtl/>
          <w:sz w:val="24"/>
          <w:szCs w:val="24"/>
        </w:rPr>
        <w:t xml:space="preserve">الأداء البيئي (الطاقة، والمياه، ومياه الصرف، والنفايات، والانبعاثات، والكيماويات)،</w:t>
      </w:r>
    </w:p>
    <w:p>
      <w:pPr>
        <w:pStyle w:val="ListeParagraf"/>
        <w:numPr>
          <w:ilvl w:val="0"/>
          <w:numId w:val="1"/>
        </w:numPr>
        <w:bidi/>
        <w:spacing w:after="60"/>
        <w:jc w:val="both"/>
      </w:pPr>
      <w:r>
        <w:rPr>
          <w:rFonts w:ascii="Calibri" w:hAnsi="Calibri" w:cs="Arial"/>
          <w:rtl/>
          <w:sz w:val="24"/>
          <w:szCs w:val="24"/>
        </w:rPr>
        <w:t xml:space="preserve">أداء مقدمي الخدمات الخارجيين والمقاولين من الباطن،</w:t>
      </w:r>
    </w:p>
    <w:p>
      <w:pPr>
        <w:pStyle w:val="ListeParagraf"/>
        <w:numPr>
          <w:ilvl w:val="0"/>
          <w:numId w:val="1"/>
        </w:numPr>
        <w:bidi/>
        <w:spacing w:after="60"/>
        <w:jc w:val="both"/>
      </w:pPr>
      <w:r>
        <w:rPr>
          <w:rFonts w:ascii="Calibri" w:hAnsi="Calibri" w:cs="Arial"/>
          <w:rtl/>
          <w:sz w:val="24"/>
          <w:szCs w:val="24"/>
        </w:rPr>
        <w:t xml:space="preserve">كفاية الموارد، والمخاطر والفرص وفعالية الإجراءات المتعلقة بها،</w:t>
      </w:r>
    </w:p>
    <w:p>
      <w:pPr>
        <w:pStyle w:val="ListeParagraf"/>
        <w:numPr>
          <w:ilvl w:val="0"/>
          <w:numId w:val="1"/>
        </w:numPr>
        <w:bidi/>
        <w:spacing w:after="60"/>
        <w:jc w:val="both"/>
      </w:pPr>
      <w:r>
        <w:rPr>
          <w:rFonts w:ascii="Calibri" w:hAnsi="Calibri" w:cs="Arial"/>
          <w:rtl/>
          <w:sz w:val="24"/>
          <w:szCs w:val="24"/>
        </w:rPr>
        <w:t xml:space="preserve">فرص التحسين.</w:t>
      </w:r>
    </w:p>
    <w:p>
      <w:pPr>
        <w:pStyle w:val="ListeParagraf"/>
        <w:bidi/>
        <w:spacing w:after="80"/>
        <w:ind w:left="0" w:right="709"/>
        <w:jc w:val="both"/>
      </w:pPr>
      <w:r>
        <w:rPr>
          <w:rFonts w:ascii="Calibri" w:hAnsi="Calibri" w:cs="Arial"/>
          <w:rtl/>
          <w:sz w:val="24"/>
          <w:szCs w:val="24"/>
        </w:rPr>
        <w:t xml:space="preserve">2.2. تُعد المدخلات على النموذج القياسي مع البيانات والاتجاهات لآخر 12 شهرًا، وتُرسل إلى ممثل نظام الإدارة قبل الاجتماع بأسبوع.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عقد الاجتماع</w:t>
      </w:r>
    </w:p>
    <w:p>
      <w:pPr>
        <w:pStyle w:val="ListeParagraf"/>
        <w:bidi/>
        <w:spacing w:after="80"/>
        <w:ind w:left="0" w:right="709"/>
        <w:jc w:val="both"/>
      </w:pPr>
      <w:r>
        <w:rPr>
          <w:rFonts w:ascii="Calibri" w:hAnsi="Calibri" w:cs="Arial"/>
          <w:rtl/>
          <w:sz w:val="24"/>
          <w:szCs w:val="24"/>
        </w:rPr>
        <w:t xml:space="preserve">3.1. يرأس المدير العام الاجتماع؛ ويعرض كل مدير قسم مدخلاته ومقترحاته.</w:t>
      </w:r>
    </w:p>
    <w:p>
      <w:pPr>
        <w:pStyle w:val="ListeParagraf"/>
        <w:bidi/>
        <w:spacing w:after="80"/>
        <w:ind w:left="0" w:right="709"/>
        <w:jc w:val="both"/>
      </w:pPr>
      <w:r>
        <w:rPr>
          <w:rFonts w:ascii="Calibri" w:hAnsi="Calibri" w:cs="Arial"/>
          <w:rtl/>
          <w:sz w:val="24"/>
          <w:szCs w:val="24"/>
        </w:rPr>
        <w:t xml:space="preserve">3.2. يقيّم المشاركون ما إذا كان النظام ملائمًا وكافيًا وفعالًا، وما إذا كانت السياسات والأهداف لا تزال مناسبة.</w:t>
      </w:r>
    </w:p>
    <w:p>
      <w:pPr>
        <w:pStyle w:val="ListeParagraf"/>
        <w:bidi/>
        <w:spacing w:after="80"/>
        <w:ind w:left="0" w:right="709"/>
        <w:jc w:val="both"/>
      </w:pPr>
      <w:r>
        <w:rPr>
          <w:rFonts w:ascii="Calibri" w:hAnsi="Calibri" w:cs="Arial"/>
          <w:rtl/>
          <w:sz w:val="24"/>
          <w:szCs w:val="24"/>
        </w:rPr>
        <w:t xml:space="preserve">3.3. يُسجل الحضور في قائمة الحضور.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مخرجات المراجعة والقرارات</w:t>
      </w:r>
    </w:p>
    <w:p>
      <w:pPr>
        <w:pStyle w:val="ListeParagraf"/>
        <w:bidi/>
        <w:spacing w:after="80"/>
        <w:ind w:left="0" w:right="709"/>
        <w:jc w:val="both"/>
      </w:pPr>
      <w:r>
        <w:rPr>
          <w:rFonts w:ascii="Calibri" w:hAnsi="Calibri" w:cs="Arial"/>
          <w:rtl/>
          <w:sz w:val="24"/>
          <w:szCs w:val="24"/>
        </w:rPr>
        <w:t xml:space="preserve">4.1. تتضمن مخرجات المراجعة قرارات وإجراءات بشأن:</w:t>
      </w:r>
    </w:p>
    <w:p>
      <w:pPr>
        <w:pStyle w:val="ListeParagraf"/>
        <w:numPr>
          <w:ilvl w:val="0"/>
          <w:numId w:val="1"/>
        </w:numPr>
        <w:bidi/>
        <w:spacing w:after="60"/>
        <w:jc w:val="both"/>
      </w:pPr>
      <w:r>
        <w:rPr>
          <w:rFonts w:ascii="Calibri" w:hAnsi="Calibri" w:cs="Arial"/>
          <w:rtl/>
          <w:sz w:val="24"/>
          <w:szCs w:val="24"/>
        </w:rPr>
        <w:t xml:space="preserve">فرص التحسين المستمر،</w:t>
      </w:r>
    </w:p>
    <w:p>
      <w:pPr>
        <w:pStyle w:val="ListeParagraf"/>
        <w:numPr>
          <w:ilvl w:val="0"/>
          <w:numId w:val="1"/>
        </w:numPr>
        <w:bidi/>
        <w:spacing w:after="60"/>
        <w:jc w:val="both"/>
      </w:pPr>
      <w:r>
        <w:rPr>
          <w:rFonts w:ascii="Calibri" w:hAnsi="Calibri" w:cs="Arial"/>
          <w:rtl/>
          <w:sz w:val="24"/>
          <w:szCs w:val="24"/>
        </w:rPr>
        <w:t xml:space="preserve">أي تغييرات لازمة في نظام الإدارة والسياسات والأهداف والعمليات،</w:t>
      </w:r>
    </w:p>
    <w:p>
      <w:pPr>
        <w:pStyle w:val="ListeParagraf"/>
        <w:numPr>
          <w:ilvl w:val="0"/>
          <w:numId w:val="1"/>
        </w:numPr>
        <w:bidi/>
        <w:spacing w:after="60"/>
        <w:jc w:val="both"/>
      </w:pPr>
      <w:r>
        <w:rPr>
          <w:rFonts w:ascii="Calibri" w:hAnsi="Calibri" w:cs="Arial"/>
          <w:rtl/>
          <w:sz w:val="24"/>
          <w:szCs w:val="24"/>
        </w:rPr>
        <w:t xml:space="preserve">احتياجات الموارد (الأفراد، والتدريب، والمعدات، والميزانية)،</w:t>
      </w:r>
    </w:p>
    <w:p>
      <w:pPr>
        <w:pStyle w:val="ListeParagraf"/>
        <w:numPr>
          <w:ilvl w:val="0"/>
          <w:numId w:val="1"/>
        </w:numPr>
        <w:bidi/>
        <w:spacing w:after="60"/>
        <w:jc w:val="both"/>
      </w:pPr>
      <w:r>
        <w:rPr>
          <w:rFonts w:ascii="Calibri" w:hAnsi="Calibri" w:cs="Arial"/>
          <w:rtl/>
          <w:sz w:val="24"/>
          <w:szCs w:val="24"/>
        </w:rPr>
        <w:t xml:space="preserve">الإجراءات اللازمة عند عدم تحقيق الأهداف،</w:t>
      </w:r>
    </w:p>
    <w:p>
      <w:pPr>
        <w:pStyle w:val="ListeParagraf"/>
        <w:numPr>
          <w:ilvl w:val="0"/>
          <w:numId w:val="1"/>
        </w:numPr>
        <w:bidi/>
        <w:spacing w:after="60"/>
        <w:jc w:val="both"/>
      </w:pPr>
      <w:r>
        <w:rPr>
          <w:rFonts w:ascii="Calibri" w:hAnsi="Calibri" w:cs="Arial"/>
          <w:rtl/>
          <w:sz w:val="24"/>
          <w:szCs w:val="24"/>
        </w:rPr>
        <w:t xml:space="preserve">الانعكاسات على التوجه الاستراتيجي للشركة.</w:t>
      </w:r>
    </w:p>
    <w:p>
      <w:pPr>
        <w:pStyle w:val="ListeParagraf"/>
        <w:bidi/>
        <w:spacing w:after="80"/>
        <w:ind w:left="0" w:right="709"/>
        <w:jc w:val="both"/>
      </w:pPr>
      <w:r>
        <w:rPr>
          <w:rFonts w:ascii="Calibri" w:hAnsi="Calibri" w:cs="Arial"/>
          <w:rtl/>
          <w:sz w:val="24"/>
          <w:szCs w:val="24"/>
        </w:rPr>
        <w:t xml:space="preserve">4.2. يُسجل كل إجراء مع الشخص المسؤول والموعد النهائي في محضر مراجعة الإدارة وخطة العمل.</w:t>
      </w:r>
    </w:p>
    <w:p>
      <w:pPr>
        <w:pStyle w:val="ListeParagraf"/>
        <w:bidi/>
        <w:spacing w:after="80"/>
        <w:ind w:left="0" w:right="709"/>
        <w:jc w:val="both"/>
      </w:pPr>
      <w:r>
        <w:rPr>
          <w:rFonts w:ascii="Calibri" w:hAnsi="Calibri" w:cs="Arial"/>
          <w:rtl/>
          <w:sz w:val="24"/>
          <w:szCs w:val="24"/>
        </w:rPr>
        <w:t xml:space="preserve">4.3. يعتمد المدير العام المحضر ويُوزع على المشاركين خلال عشرة أيام عمل؛ وتُبلّغ النتائج ذات الصلة إلى الموظفين وممثلي العمال.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w:t>
      </w:r>
    </w:p>
    <w:p>
      <w:pPr>
        <w:pStyle w:val="ListeParagraf"/>
        <w:bidi/>
        <w:spacing w:after="80"/>
        <w:ind w:left="0" w:right="709"/>
        <w:jc w:val="both"/>
      </w:pPr>
      <w:r>
        <w:rPr>
          <w:rFonts w:ascii="Calibri" w:hAnsi="Calibri" w:cs="Arial"/>
          <w:rtl/>
          <w:sz w:val="24"/>
          <w:szCs w:val="24"/>
        </w:rPr>
        <w:t xml:space="preserve">5.1. يتابع ممثل نظام الإدارة الإجراءات كل ثلاثة أشهر ويرفع الإجراءات المتأخرة إلى المدير العام.</w:t>
      </w:r>
    </w:p>
    <w:p>
      <w:pPr>
        <w:pStyle w:val="ListeParagraf"/>
        <w:bidi/>
        <w:spacing w:after="80"/>
        <w:ind w:left="0" w:right="709"/>
        <w:jc w:val="both"/>
      </w:pPr>
      <w:r>
        <w:rPr>
          <w:rFonts w:ascii="Calibri" w:hAnsi="Calibri" w:cs="Arial"/>
          <w:rtl/>
          <w:sz w:val="24"/>
          <w:szCs w:val="24"/>
        </w:rPr>
        <w:t xml:space="preserve">5.2. تكون حالة الإجراءات أول مدخل في مراجعة الإدارة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المؤشرات التالية:</w:t>
      </w:r>
    </w:p>
    <w:p>
      <w:pPr>
        <w:pStyle w:val="ListeParagraf"/>
        <w:numPr>
          <w:ilvl w:val="0"/>
          <w:numId w:val="1"/>
        </w:numPr>
        <w:bidi/>
        <w:spacing w:after="60"/>
        <w:jc w:val="both"/>
      </w:pPr>
      <w:r>
        <w:rPr>
          <w:rFonts w:ascii="Calibri" w:hAnsi="Calibri" w:cs="Arial"/>
          <w:rtl/>
          <w:sz w:val="24"/>
          <w:szCs w:val="24"/>
        </w:rPr>
        <w:t xml:space="preserve">عقد مراجعة الإدارة وفق الخطة مع جميع المدخلات المطلوبة،</w:t>
      </w:r>
    </w:p>
    <w:p>
      <w:pPr>
        <w:pStyle w:val="ListeParagraf"/>
        <w:numPr>
          <w:ilvl w:val="0"/>
          <w:numId w:val="1"/>
        </w:numPr>
        <w:bidi/>
        <w:spacing w:after="60"/>
        <w:jc w:val="both"/>
      </w:pPr>
      <w:r>
        <w:rPr>
          <w:rFonts w:ascii="Calibri" w:hAnsi="Calibri" w:cs="Arial"/>
          <w:rtl/>
          <w:sz w:val="24"/>
          <w:szCs w:val="24"/>
        </w:rPr>
        <w:t xml:space="preserve">نسبة إجراءات المراجعة المنجزة في موعدها (الهدف: 90% على الأقل)،</w:t>
      </w:r>
    </w:p>
    <w:p>
      <w:pPr>
        <w:pStyle w:val="ListeParagraf"/>
        <w:numPr>
          <w:ilvl w:val="0"/>
          <w:numId w:val="1"/>
        </w:numPr>
        <w:bidi/>
        <w:spacing w:after="60"/>
        <w:jc w:val="both"/>
      </w:pPr>
      <w:r>
        <w:rPr>
          <w:rFonts w:ascii="Calibri" w:hAnsi="Calibri" w:cs="Arial"/>
          <w:rtl/>
          <w:sz w:val="24"/>
          <w:szCs w:val="24"/>
        </w:rPr>
        <w:t xml:space="preserve">عدد الأهداف المحققة مقارنة بالعام السابق.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مدخلات مراجعة الإدارة</w:t>
      </w:r>
    </w:p>
    <w:p>
      <w:pPr>
        <w:pStyle w:val="ListeParagraf"/>
        <w:numPr>
          <w:ilvl w:val="0"/>
          <w:numId w:val="1"/>
        </w:numPr>
        <w:bidi/>
        <w:spacing w:after="60"/>
        <w:jc w:val="both"/>
      </w:pPr>
      <w:r>
        <w:rPr>
          <w:rFonts w:ascii="Calibri" w:hAnsi="Calibri" w:cs="Arial"/>
          <w:rtl/>
          <w:sz w:val="24"/>
          <w:szCs w:val="24"/>
        </w:rPr>
        <w:t xml:space="preserve">محضر مراجعة الإدارة وخطة العمل</w:t>
      </w:r>
    </w:p>
    <w:p>
      <w:pPr>
        <w:pStyle w:val="ListeParagraf"/>
        <w:numPr>
          <w:ilvl w:val="0"/>
          <w:numId w:val="1"/>
        </w:numPr>
        <w:bidi/>
        <w:spacing w:after="60"/>
        <w:jc w:val="both"/>
      </w:pPr>
      <w:r>
        <w:rPr>
          <w:rFonts w:ascii="Calibri" w:hAnsi="Calibri" w:cs="Arial"/>
          <w:rtl/>
          <w:sz w:val="24"/>
          <w:szCs w:val="24"/>
        </w:rPr>
        <w:t xml:space="preserve">قائمة الحضور</w:t>
      </w:r>
    </w:p>
    <w:p>
      <w:pPr>
        <w:pStyle w:val="ListeParagraf"/>
        <w:numPr>
          <w:ilvl w:val="0"/>
          <w:numId w:val="1"/>
        </w:numPr>
        <w:bidi/>
        <w:spacing w:after="60"/>
        <w:jc w:val="both"/>
      </w:pPr>
      <w:r>
        <w:rPr>
          <w:rFonts w:ascii="Calibri" w:hAnsi="Calibri" w:cs="Arial"/>
          <w:rtl/>
          <w:sz w:val="24"/>
          <w:szCs w:val="24"/>
        </w:rPr>
        <w:t xml:space="preserve">EMS.YS.POL.11.01. سياسة نظام الإدارة المتكامل</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numPr>
          <w:ilvl w:val="0"/>
          <w:numId w:val="1"/>
        </w:numPr>
        <w:bidi/>
        <w:spacing w:after="60"/>
        <w:jc w:val="both"/>
      </w:pPr>
      <w:r>
        <w:rPr>
          <w:rFonts w:ascii="Calibri" w:hAnsi="Calibri" w:cs="Arial"/>
          <w:rtl/>
          <w:sz w:val="24"/>
          <w:szCs w:val="24"/>
        </w:rPr>
        <w:t xml:space="preserve">EMS.YS.PRO.11.03. إجراء سياق المنظمة والأطراف المعنية</w:t>
      </w:r>
    </w:p>
    <w:p>
      <w:pPr>
        <w:pStyle w:val="ListeParagraf"/>
        <w:numPr>
          <w:ilvl w:val="0"/>
          <w:numId w:val="1"/>
        </w:numPr>
        <w:bidi/>
        <w:spacing w:after="60"/>
        <w:jc w:val="both"/>
      </w:pPr>
      <w:r>
        <w:rPr>
          <w:rFonts w:ascii="Calibri" w:hAnsi="Calibri" w:cs="Arial"/>
          <w:rtl/>
          <w:sz w:val="24"/>
          <w:szCs w:val="24"/>
        </w:rPr>
        <w:t xml:space="preserve">EMS.YS.PRO.11.04. إجراء المخاطر والفرص</w:t>
      </w:r>
    </w:p>
    <w:p>
      <w:pPr>
        <w:pStyle w:val="ListeParagraf"/>
        <w:numPr>
          <w:ilvl w:val="0"/>
          <w:numId w:val="1"/>
        </w:numPr>
        <w:bidi/>
        <w:spacing w:after="60"/>
        <w:jc w:val="both"/>
      </w:pPr>
      <w:r>
        <w:rPr>
          <w:rFonts w:ascii="Calibri" w:hAnsi="Calibri" w:cs="Arial"/>
          <w:rtl/>
          <w:sz w:val="24"/>
          <w:szCs w:val="24"/>
        </w:rPr>
        <w:t xml:space="preserve">EMS OHS SP14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ممثل نظام الإدارة. وتُقيّم ملاحظات المشاركين ونتائج التدقيق،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MANAGEMENT REVIEW PROCEDURE</w:t>
          </w:r>
        </w:p>
        <w:p>
          <w:pPr>
            <w:pStyle w:val="GvdeMetni2"/>
            <w:bidi/>
            <w:spacing w:line="276" w:lineRule="auto"/>
            <w:jc w:val="center"/>
          </w:pPr>
          <w:r>
            <w:rPr>
              <w:rFonts w:asciiTheme="minorHAnsi" w:hAnsiTheme="minorHAnsi" w:cs="Arial"/>
              <w:b/>
              <w:bCs/>
              <w:color w:val="000000" w:themeColor="text1"/>
              <w:sz w:val="22"/>
              <w:szCs w:val="22"/>
              <w:rtl/>
            </w:rPr>
            <w:t>إجراء مراجعة الإدارة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EMS.YS.PRO.11.05. MANAGEMENT REVIEW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