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AMAÇ</w:t>
      </w:r>
    </w:p>
    <w:p>
      <w:pPr>
        <w:pStyle w:val="ListeParagraf"/>
        <w:spacing w:after="80"/>
        <w:ind w:left="709" w:right="0"/>
        <w:jc w:val="both"/>
      </w:pPr>
      <w:r>
        <w:rPr>
          <w:rFonts w:ascii="Calibri" w:hAnsi="Calibri" w:cs="Arial"/>
          <w:sz w:val="24"/>
          <w:szCs w:val="24"/>
        </w:rPr>
        <w:t xml:space="preserve">Bu politika, ürün kalitesinin, izlenebilirliğin ve müşterilere zamanında teslimatın sağlanması, insanların ve çevrenin korunması için Eroglu Knitting (EMS) olarak tüm malzeme ve mamulleri güvenli, emniyetli ve doğru şekilde teslim alma, depolama, elleçleme ve sevk etme taahhüdümüzü ortaya koyar.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KAPSAM</w:t>
      </w:r>
    </w:p>
    <w:p>
      <w:pPr>
        <w:pStyle w:val="ListeParagraf"/>
        <w:spacing w:after="80"/>
        <w:ind w:left="709" w:right="0"/>
        <w:jc w:val="both"/>
      </w:pPr>
      <w:r>
        <w:rPr>
          <w:rFonts w:ascii="Calibri" w:hAnsi="Calibri" w:cs="Arial"/>
          <w:sz w:val="24"/>
          <w:szCs w:val="24"/>
        </w:rPr>
        <w:t xml:space="preserve">Bu politika şunları kapsar:</w:t>
      </w:r>
    </w:p>
    <w:p>
      <w:pPr>
        <w:pStyle w:val="ListeParagraf"/>
        <w:spacing w:after="80"/>
        <w:ind w:left="709" w:right="0"/>
        <w:jc w:val="both"/>
      </w:pPr>
      <w:r>
        <w:rPr>
          <w:rFonts w:ascii="Calibri" w:hAnsi="Calibri" w:cs="Arial"/>
          <w:sz w:val="24"/>
          <w:szCs w:val="24"/>
        </w:rPr>
        <w:t xml:space="preserve">• İplik, kumaş, trim, aksesuar, paketleme malzemesi, boya, kimyasal, yedek parça ve sarf malzemesi depoları,</w:t>
      </w:r>
    </w:p>
    <w:p>
      <w:pPr>
        <w:pStyle w:val="ListeParagraf"/>
        <w:spacing w:after="80"/>
        <w:ind w:left="709" w:right="0"/>
        <w:jc w:val="both"/>
      </w:pPr>
      <w:r>
        <w:rPr>
          <w:rFonts w:ascii="Calibri" w:hAnsi="Calibri" w:cs="Arial"/>
          <w:sz w:val="24"/>
          <w:szCs w:val="24"/>
        </w:rPr>
        <w:t xml:space="preserve">• Yarı mamul ve mamul depolama alanları, paketleme ve yükleme alanları,</w:t>
      </w:r>
    </w:p>
    <w:p>
      <w:pPr>
        <w:pStyle w:val="ListeParagraf"/>
        <w:spacing w:after="80"/>
        <w:ind w:left="709" w:right="0"/>
        <w:jc w:val="both"/>
      </w:pPr>
      <w:r>
        <w:rPr>
          <w:rFonts w:ascii="Calibri" w:hAnsi="Calibri" w:cs="Arial"/>
          <w:sz w:val="24"/>
          <w:szCs w:val="24"/>
        </w:rPr>
        <w:t xml:space="preserve">• İç taşıma, forkliftler, müşterilere ve taşeronlara sevkiyatlar ve gelen nakliye.</w:t>
      </w:r>
    </w:p>
    <w:p>
      <w:pPr>
        <w:pStyle w:val="ListeParagraf"/>
        <w:spacing w:after="80"/>
        <w:ind w:left="709" w:right="0"/>
        <w:jc w:val="both"/>
      </w:pPr>
      <w:r>
        <w:rPr>
          <w:rFonts w:ascii="Calibri" w:hAnsi="Calibri" w:cs="Arial"/>
          <w:sz w:val="24"/>
          <w:szCs w:val="24"/>
        </w:rPr>
        <w:t xml:space="preserve">Tüm EMS depo, lojistik ve sevkiyat personeli, bu alanlarda çalışan diğer çalışanlar ve EMS'ye hizmet veren nakliye firmaları için geçerlidir.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SORUMLULUKLAR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Genel Müdür:</w:t>
      </w:r>
      <w:r>
        <w:rPr>
          <w:rFonts w:ascii="Calibri" w:hAnsi="Calibri" w:cs="Arial"/>
          <w:sz w:val="24"/>
          <w:szCs w:val="24"/>
        </w:rPr>
        <w:t xml:space="preserve"> Politikayı onaylar ve depolama ve lojistik için gerekli kaynakları (alan, ekipman, personel ve sistemler) sağlar.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Depo ve Lojistik Müdürü:</w:t>
      </w:r>
      <w:r>
        <w:rPr>
          <w:rFonts w:ascii="Calibri" w:hAnsi="Calibri" w:cs="Arial"/>
          <w:sz w:val="24"/>
          <w:szCs w:val="24"/>
        </w:rPr>
        <w:t xml:space="preserve"> Politikayı uygular, doğru stok kayıtlarını ve güvenli operasyonları sağlar ve performansı yönetime raporlar.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Depo Personeli ve Forklift Operatörleri:</w:t>
      </w:r>
      <w:r>
        <w:rPr>
          <w:rFonts w:ascii="Calibri" w:hAnsi="Calibri" w:cs="Arial"/>
          <w:sz w:val="24"/>
          <w:szCs w:val="24"/>
        </w:rPr>
        <w:t xml:space="preserve"> Prosedürlere uyar, alanları temiz ve düzenli tutar ve her hasar, eksiklik veya güvenlik riskini bildirir.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Güvenlik ve Uyum Ekipleri:</w:t>
      </w:r>
      <w:r>
        <w:rPr>
          <w:rFonts w:ascii="Calibri" w:hAnsi="Calibri" w:cs="Arial"/>
          <w:sz w:val="24"/>
          <w:szCs w:val="24"/>
        </w:rPr>
        <w:t xml:space="preserve"> Malların, yükleme alanlarının ve sevkiyatların güvenliğini GSV ve C-TPAT şartlarına uygun şekilde sağlar.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TANIMLAR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FIFO:</w:t>
      </w:r>
      <w:r>
        <w:rPr>
          <w:rFonts w:ascii="Calibri" w:hAnsi="Calibri" w:cs="Arial"/>
          <w:sz w:val="24"/>
          <w:szCs w:val="24"/>
        </w:rPr>
        <w:t xml:space="preserve"> İlk Giren İlk Çıkar; ilk gelen malzeme ilk kullanılır veya sevk edilir.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Stok Yeri:</w:t>
      </w:r>
      <w:r>
        <w:rPr>
          <w:rFonts w:ascii="Calibri" w:hAnsi="Calibri" w:cs="Arial"/>
          <w:sz w:val="24"/>
          <w:szCs w:val="24"/>
        </w:rPr>
        <w:t xml:space="preserve"> Bir malzemenin depolandığı ve kaydedildiği tanımlı yer (bölge, raf, göz).</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Karantina Alanı:</w:t>
      </w:r>
      <w:r>
        <w:rPr>
          <w:rFonts w:ascii="Calibri" w:hAnsi="Calibri" w:cs="Arial"/>
          <w:sz w:val="24"/>
          <w:szCs w:val="24"/>
        </w:rPr>
        <w:t xml:space="preserve"> Kontrol bekleyen veya uygun olmadığı tespit edilen malzemelerin ayrı tutulduğu işaretli alan.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POLİTİKA TAAHHÜTLERİ</w:t>
      </w:r>
    </w:p>
    <w:p>
      <w:pPr>
        <w:pStyle w:val="ListeParagraf"/>
        <w:spacing w:before="120" w:after="60"/>
        <w:ind w:left="709" w:right="0"/>
      </w:pPr>
      <w:r>
        <w:rPr>
          <w:rFonts w:ascii="Calibri" w:hAnsi="Calibri" w:cs="Arial"/>
          <w:b/>
          <w:bCs/>
          <w:sz w:val="24"/>
          <w:szCs w:val="24"/>
        </w:rPr>
        <w:t xml:space="preserve">1. TAAHHÜTLERİMİZ</w:t>
      </w:r>
    </w:p>
    <w:p>
      <w:pPr>
        <w:pStyle w:val="ListeParagraf"/>
        <w:spacing w:after="80"/>
        <w:ind w:left="709" w:right="0"/>
        <w:jc w:val="both"/>
      </w:pPr>
      <w:r>
        <w:rPr>
          <w:rFonts w:ascii="Calibri" w:hAnsi="Calibri" w:cs="Arial"/>
          <w:sz w:val="24"/>
          <w:szCs w:val="24"/>
        </w:rPr>
        <w:t xml:space="preserve">1.1. EMS şunları taahhüt eder:</w:t>
      </w:r>
    </w:p>
    <w:p>
      <w:pPr>
        <w:pStyle w:val="ListeParagraf"/>
        <w:numPr>
          <w:ilvl w:val="0"/>
          <w:numId w:val="1"/>
        </w:numPr>
        <w:spacing w:after="60"/>
        <w:jc w:val="both"/>
      </w:pPr>
      <w:r>
        <w:rPr>
          <w:rFonts w:ascii="Calibri" w:hAnsi="Calibri" w:cs="Arial"/>
          <w:sz w:val="24"/>
          <w:szCs w:val="24"/>
        </w:rPr>
        <w:t xml:space="preserve">Siparişten lota ve sertifikalı malzeme (GRS, RCS, OCS) kimliğine kadar tam izlenebilirlikle, teslim almadan sevkiyata doğru ve anlık stok kayıtları tutmak.</w:t>
      </w:r>
    </w:p>
    <w:p>
      <w:pPr>
        <w:pStyle w:val="ListeParagraf"/>
        <w:numPr>
          <w:ilvl w:val="0"/>
          <w:numId w:val="1"/>
        </w:numPr>
        <w:spacing w:after="60"/>
        <w:jc w:val="both"/>
      </w:pPr>
      <w:r>
        <w:rPr>
          <w:rFonts w:ascii="Calibri" w:hAnsi="Calibri" w:cs="Arial"/>
          <w:sz w:val="24"/>
          <w:szCs w:val="24"/>
        </w:rPr>
        <w:t xml:space="preserve">Tüm malzemeleri temiz, kuru, düzenli ve tanımlı alanlarda depolamak, FIFO uygulamak, hasara, kirlenmeye ve neme karşı korumak.</w:t>
      </w:r>
    </w:p>
    <w:p>
      <w:pPr>
        <w:pStyle w:val="ListeParagraf"/>
        <w:numPr>
          <w:ilvl w:val="0"/>
          <w:numId w:val="1"/>
        </w:numPr>
        <w:spacing w:after="60"/>
        <w:jc w:val="both"/>
      </w:pPr>
      <w:r>
        <w:rPr>
          <w:rFonts w:ascii="Calibri" w:hAnsi="Calibri" w:cs="Arial"/>
          <w:sz w:val="24"/>
          <w:szCs w:val="24"/>
        </w:rPr>
        <w:t xml:space="preserve">Kimyasalları yalnızca ikincil taşma havuzu, SDS ve uyumluluk kurallarıyla belirlenmiş kimyasal depolarda depolamak.</w:t>
      </w:r>
    </w:p>
    <w:p>
      <w:pPr>
        <w:pStyle w:val="ListeParagraf"/>
        <w:numPr>
          <w:ilvl w:val="0"/>
          <w:numId w:val="1"/>
        </w:numPr>
        <w:spacing w:after="60"/>
        <w:jc w:val="both"/>
      </w:pPr>
      <w:r>
        <w:rPr>
          <w:rFonts w:ascii="Calibri" w:hAnsi="Calibri" w:cs="Arial"/>
          <w:sz w:val="24"/>
          <w:szCs w:val="24"/>
        </w:rPr>
        <w:t xml:space="preserve">Güvenli operasyon sağlamak: eğitimli ve belgeli forklift operatörleri, güvenli raflama ve istifleme, açık yürüme yolları ve engelsiz acil çıkışlar ile yangın ekipmanı.</w:t>
      </w:r>
    </w:p>
    <w:p>
      <w:pPr>
        <w:pStyle w:val="ListeParagraf"/>
        <w:numPr>
          <w:ilvl w:val="0"/>
          <w:numId w:val="1"/>
        </w:numPr>
        <w:spacing w:after="60"/>
        <w:jc w:val="both"/>
      </w:pPr>
      <w:r>
        <w:rPr>
          <w:rFonts w:ascii="Calibri" w:hAnsi="Calibri" w:cs="Arial"/>
          <w:sz w:val="24"/>
          <w:szCs w:val="24"/>
        </w:rPr>
        <w:t xml:space="preserve">Malları ve sevkiyatları GSV ve C-TPAT güvenlik şartlarına uygun olarak hırsızlığa, müdahaleye ve yetkisiz madde sokulmasına karşı korumak.</w:t>
      </w:r>
    </w:p>
    <w:p>
      <w:pPr>
        <w:pStyle w:val="ListeParagraf"/>
        <w:numPr>
          <w:ilvl w:val="0"/>
          <w:numId w:val="1"/>
        </w:numPr>
        <w:spacing w:after="60"/>
        <w:jc w:val="both"/>
      </w:pPr>
      <w:r>
        <w:rPr>
          <w:rFonts w:ascii="Calibri" w:hAnsi="Calibri" w:cs="Arial"/>
          <w:sz w:val="24"/>
          <w:szCs w:val="24"/>
        </w:rPr>
        <w:t xml:space="preserve">Müşterilerimize doğru ürünü, doğru miktar ve paketlemede, zamanında teslim etmek.</w:t>
      </w:r>
    </w:p>
    <w:p>
      <w:pPr>
        <w:pStyle w:val="ListeParagraf"/>
        <w:numPr>
          <w:ilvl w:val="0"/>
          <w:numId w:val="1"/>
        </w:numPr>
        <w:spacing w:after="60"/>
        <w:jc w:val="both"/>
      </w:pPr>
      <w:r>
        <w:rPr>
          <w:rFonts w:ascii="Calibri" w:hAnsi="Calibri" w:cs="Arial"/>
          <w:sz w:val="24"/>
          <w:szCs w:val="24"/>
        </w:rPr>
        <w:t xml:space="preserve">Paketleme atığını ve nakliyeye bağlı emisyonları azaltmak, mümkün olduğunda paketleme malzemelerini yeniden kullanmak veya geri dönüştürmek.</w:t>
      </w:r>
    </w:p>
    <w:p>
      <w:pPr>
        <w:pStyle w:val="ListeParagraf"/>
        <w:numPr>
          <w:ilvl w:val="0"/>
          <w:numId w:val="1"/>
        </w:numPr>
        <w:spacing w:after="60"/>
        <w:jc w:val="both"/>
      </w:pPr>
      <w:r>
        <w:rPr>
          <w:rFonts w:ascii="Calibri" w:hAnsi="Calibri" w:cs="Arial"/>
          <w:sz w:val="24"/>
          <w:szCs w:val="24"/>
        </w:rPr>
        <w:t xml:space="preserve">Geçerli Mısır mevzuatına, müşteri şartlarına ve ISO 9001, ISO 14001 ve ISO 45001 standartlarına uymak.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GÖZDEN GEÇİRME</w:t>
      </w:r>
    </w:p>
    <w:p>
      <w:pPr>
        <w:pStyle w:val="ListeParagraf"/>
        <w:spacing w:after="80"/>
        <w:ind w:left="709" w:right="0"/>
        <w:jc w:val="both"/>
      </w:pPr>
      <w:r>
        <w:rPr>
          <w:rFonts w:ascii="Calibri" w:hAnsi="Calibri" w:cs="Arial"/>
          <w:sz w:val="24"/>
          <w:szCs w:val="24"/>
        </w:rPr>
        <w:t xml:space="preserve">Bu politika her yıl yönetimin gözden geçirmesinde veya önemli bir değişiklik olduğunda daha erken gözden geçirilir. Tüm çalışanlara duyurulur ve depo ile yükleme alanlarında asılır.</w:t>
      </w:r>
    </w:p>
    <w:p>
      <w:r>
        <w:br w:type="page"/>
      </w:r>
    </w:p>
    <w:p/>
    <w:p w14:paraId="09C717F6" w14:textId="77777777" w:rsidR="00492105" w:rsidRDefault="00492105" w:rsidP="00E34A01">
      <w:pPr>
        <w:pStyle w:val="ListeParagraf"/>
        <w:ind w:left="709"/>
        <w:rPr>
          <w:rFonts w:ascii="Calibri" w:hAnsi="Calibri" w:cs="Calibri"/>
          <w:sz w:val="24"/>
          <w:szCs w:val="24"/>
        </w:rPr>
      </w:pPr>
    </w:p>
    <w:p>
      <w:pPr>
        <w:jc w:val="center"/>
      </w:pPr>
      <w:r>
        <w:rPr>
          <w:i/>
          <w:sz w:val="16"/>
          <w:color w:val="666666"/>
        </w:rPr>
        <w:t>Bu belge resmî EN+AR belgenin Türkçe çevirisidir; çelişki hâlinde resmî belge geçerlidir.</w:t>
      </w: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DEPO VE LOJİSTİK POLİTİKASI</w:t>
          </w:r>
        </w:p>
        <w:p>
          <w:pPr>
            <w:pStyle w:val="GvdeMetni2"/>
            <w:bidi/>
            <w:spacing w:line="276" w:lineRule="auto"/>
            <w:jc w:val="center"/>
          </w:pPr>
          <w:r>
            <w:rPr>
              <w:rFonts w:asciiTheme="minorHAnsi" w:hAnsiTheme="minorHAnsi" w:cs="Arial"/>
              <w:b/>
              <w:bCs/>
              <w:color w:val="000000" w:themeColor="text1"/>
              <w:sz w:val="22"/>
              <w:szCs w:val="22"/>
              <w:rtl/>
            </w:rPr>
            <w:t>WAREHOUSE AND LOGISTICS POLICY</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EMS.DP.POL.08.01.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EMS.DP.POL.08.01. WAREHOUSE AND LOGISTICS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