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AMAÇ</w:t>
      </w:r>
    </w:p>
    <w:p>
      <w:pPr>
        <w:pStyle w:val="ListeParagraf"/>
        <w:spacing w:after="80"/>
        <w:ind w:left="709" w:right="0"/>
        <w:jc w:val="both"/>
      </w:pPr>
      <w:r>
        <w:rPr>
          <w:rFonts w:ascii="Calibri" w:hAnsi="Calibri" w:cs="Arial"/>
          <w:sz w:val="24"/>
          <w:szCs w:val="24"/>
        </w:rPr>
        <w:t xml:space="preserve">Bu prosedür, bir ürün güvenliği veya ciddi kalite sorunu sevkiyattan sonra tespit edildiğinde, Eroglu Knitting (EMS) bünyesinde ürünlerin tüm üretim aşamalarında nasıl tanımlandığını ve izlendiğini ve ürün geri çağırma veya çekmenin nasıl hızlı ve etkili yönetildiğini tanımlar.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KAPSAM</w:t>
      </w:r>
    </w:p>
    <w:p>
      <w:pPr>
        <w:pStyle w:val="ListeParagraf"/>
        <w:spacing w:after="80"/>
        <w:ind w:left="709" w:right="0"/>
        <w:jc w:val="both"/>
      </w:pPr>
      <w:r>
        <w:rPr>
          <w:rFonts w:ascii="Calibri" w:hAnsi="Calibri" w:cs="Arial"/>
          <w:sz w:val="24"/>
          <w:szCs w:val="24"/>
        </w:rPr>
        <w:t xml:space="preserve">Bu prosedür, iplik, kumaş, kimyasal ve aksesuar kabulünden örme, boya ve terbiye, kesim, dikim, baskı, nakış, paketleme ve sevkiyata kadar taşeronların yaptığı işler dahil EMS'nin ürettiği tüm siparişleri kapsar.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SORUMLULUKLAR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Kalite Güvence Müdürü:</w:t>
      </w:r>
      <w:r>
        <w:rPr>
          <w:rFonts w:ascii="Calibri" w:hAnsi="Calibri" w:cs="Arial"/>
          <w:sz w:val="24"/>
          <w:szCs w:val="24"/>
        </w:rPr>
        <w:t xml:space="preserve"> İzlenebilirlik sisteminin sahibidir, geri çağırma ekibine liderlik eder ve müşteriyle iletişim kurar.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Üretim Planlama Müdürü:</w:t>
      </w:r>
      <w:r>
        <w:rPr>
          <w:rFonts w:ascii="Calibri" w:hAnsi="Calibri" w:cs="Arial"/>
          <w:sz w:val="24"/>
          <w:szCs w:val="24"/>
        </w:rPr>
        <w:t xml:space="preserve"> Sipariş, lot ve parti numaralarının tüm üretim belgelerinde taşınmasını sağlar.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Depo ve Sevkiyat Müdürleri:</w:t>
      </w:r>
      <w:r>
        <w:rPr>
          <w:rFonts w:ascii="Calibri" w:hAnsi="Calibri" w:cs="Arial"/>
          <w:sz w:val="24"/>
          <w:szCs w:val="24"/>
        </w:rPr>
        <w:t xml:space="preserve"> Gelen malzemelerin lot numaralarını ve her sevkiyat ile kolinin içeriğini kaydeder.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Genel Müdür:</w:t>
      </w:r>
      <w:r>
        <w:rPr>
          <w:rFonts w:ascii="Calibri" w:hAnsi="Calibri" w:cs="Arial"/>
          <w:sz w:val="24"/>
          <w:szCs w:val="24"/>
        </w:rPr>
        <w:t xml:space="preserve"> Geri çağırma kararını onaylar ve gerekli kaynakları sağlar.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TANIMLAR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Lot / Parti Numarası:</w:t>
      </w:r>
      <w:r>
        <w:rPr>
          <w:rFonts w:ascii="Calibri" w:hAnsi="Calibri" w:cs="Arial"/>
          <w:sz w:val="24"/>
          <w:szCs w:val="24"/>
        </w:rPr>
        <w:t xml:space="preserve"> Her iplik lotuna, kumaş topuna, boya partisine ve kesim lotuna verilen benzersiz numara.</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Sanal Geri Çağırma Tatbikatı:</w:t>
      </w:r>
      <w:r>
        <w:rPr>
          <w:rFonts w:ascii="Calibri" w:hAnsi="Calibri" w:cs="Arial"/>
          <w:sz w:val="24"/>
          <w:szCs w:val="24"/>
        </w:rPr>
        <w:t xml:space="preserve"> Rastgele seçilen sevk edilmiş bir siparişin belirlenen süre içinde geriye ve ileriye izlendiği izlenebilirlik testi.</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Ürün Çekme:</w:t>
      </w:r>
      <w:r>
        <w:rPr>
          <w:rFonts w:ascii="Calibri" w:hAnsi="Calibri" w:cs="Arial"/>
          <w:sz w:val="24"/>
          <w:szCs w:val="24"/>
        </w:rPr>
        <w:t xml:space="preserve"> Hâlâ tedarik zincirinde olan (henüz tüketiciye satılmamış) ürünlerin durdurulup iade edilmesi.</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ANA VE ALT SÜREÇLER</w:t>
      </w:r>
    </w:p>
    <w:p>
      <w:pPr>
        <w:pStyle w:val="ListeParagraf"/>
        <w:spacing w:before="120" w:after="60"/>
        <w:ind w:left="709" w:right="0"/>
      </w:pPr>
      <w:r>
        <w:rPr>
          <w:rFonts w:ascii="Calibri" w:hAnsi="Calibri" w:cs="Arial"/>
          <w:b/>
          <w:bCs/>
          <w:sz w:val="24"/>
          <w:szCs w:val="24"/>
        </w:rPr>
        <w:t xml:space="preserve">1. TANIMLAMA VE İZLENEBİLİRLİK</w:t>
      </w:r>
    </w:p>
    <w:p>
      <w:pPr>
        <w:pStyle w:val="ListeParagraf"/>
        <w:spacing w:after="80"/>
        <w:ind w:left="709" w:right="0"/>
        <w:jc w:val="both"/>
      </w:pPr>
      <w:r>
        <w:rPr>
          <w:rFonts w:ascii="Calibri" w:hAnsi="Calibri" w:cs="Arial"/>
          <w:sz w:val="24"/>
          <w:szCs w:val="24"/>
        </w:rPr>
        <w:t xml:space="preserve">1.1. Gelen her malzeme tedarikçisi, irsaliyesi, lot numarası ve gerekiyorsa GRS/RCS/OCS işlem sertifikasıyla kaydedilir.</w:t>
      </w:r>
    </w:p>
    <w:p>
      <w:pPr>
        <w:pStyle w:val="ListeParagraf"/>
        <w:spacing w:after="80"/>
        <w:ind w:left="709" w:right="0"/>
        <w:jc w:val="both"/>
      </w:pPr>
      <w:r>
        <w:rPr>
          <w:rFonts w:ascii="Calibri" w:hAnsi="Calibri" w:cs="Arial"/>
          <w:sz w:val="24"/>
          <w:szCs w:val="24"/>
        </w:rPr>
        <w:t xml:space="preserve">1.2. Her üretim aşaması girdi ile çıktı arasındaki bağlantıyı kaydeder:</w:t>
      </w:r>
    </w:p>
    <w:p>
      <w:pPr>
        <w:pStyle w:val="ListeParagraf"/>
        <w:numPr>
          <w:ilvl w:val="0"/>
          <w:numId w:val="1"/>
        </w:numPr>
        <w:spacing w:after="60"/>
        <w:jc w:val="both"/>
      </w:pPr>
      <w:r>
        <w:rPr>
          <w:rFonts w:ascii="Calibri" w:hAnsi="Calibri" w:cs="Arial"/>
          <w:sz w:val="24"/>
          <w:szCs w:val="24"/>
        </w:rPr>
        <w:t xml:space="preserve">Örme: iplik lotu → ham kumaş top numarası,</w:t>
      </w:r>
    </w:p>
    <w:p>
      <w:pPr>
        <w:pStyle w:val="ListeParagraf"/>
        <w:numPr>
          <w:ilvl w:val="0"/>
          <w:numId w:val="1"/>
        </w:numPr>
        <w:spacing w:after="60"/>
        <w:jc w:val="both"/>
      </w:pPr>
      <w:r>
        <w:rPr>
          <w:rFonts w:ascii="Calibri" w:hAnsi="Calibri" w:cs="Arial"/>
          <w:sz w:val="24"/>
          <w:szCs w:val="24"/>
        </w:rPr>
        <w:t xml:space="preserve">Boya ve terbiye: ham kumaş topu → boya partisi → bitmiş top, kullanılan reçete ve kimyasallarla,</w:t>
      </w:r>
    </w:p>
    <w:p>
      <w:pPr>
        <w:pStyle w:val="ListeParagraf"/>
        <w:numPr>
          <w:ilvl w:val="0"/>
          <w:numId w:val="1"/>
        </w:numPr>
        <w:spacing w:after="60"/>
        <w:jc w:val="both"/>
      </w:pPr>
      <w:r>
        <w:rPr>
          <w:rFonts w:ascii="Calibri" w:hAnsi="Calibri" w:cs="Arial"/>
          <w:sz w:val="24"/>
          <w:szCs w:val="24"/>
        </w:rPr>
        <w:t xml:space="preserve">Kesim ve dikim: kumaş topu → kesim lotu → paket kartı → dikim hattı ve tarih,</w:t>
      </w:r>
    </w:p>
    <w:p>
      <w:pPr>
        <w:pStyle w:val="ListeParagraf"/>
        <w:numPr>
          <w:ilvl w:val="0"/>
          <w:numId w:val="1"/>
        </w:numPr>
        <w:spacing w:after="60"/>
        <w:jc w:val="both"/>
      </w:pPr>
      <w:r>
        <w:rPr>
          <w:rFonts w:ascii="Calibri" w:hAnsi="Calibri" w:cs="Arial"/>
          <w:sz w:val="24"/>
          <w:szCs w:val="24"/>
        </w:rPr>
        <w:t xml:space="preserve">Paketleme: paket → koli numarası → çeki listesi → sevkiyat / konteyner numarası.</w:t>
      </w:r>
    </w:p>
    <w:p>
      <w:pPr>
        <w:pStyle w:val="ListeParagraf"/>
        <w:spacing w:after="80"/>
        <w:ind w:left="709" w:right="0"/>
        <w:jc w:val="both"/>
      </w:pPr>
      <w:r>
        <w:rPr>
          <w:rFonts w:ascii="Calibri" w:hAnsi="Calibri" w:cs="Arial"/>
          <w:sz w:val="24"/>
          <w:szCs w:val="24"/>
        </w:rPr>
        <w:t xml:space="preserve">1.3. Kayıtlar en az 3 yıl veya müşteri isterse daha uzun süre saklanır.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SANAL GERİ ÇAĞIRMA TESTİ</w:t>
      </w:r>
    </w:p>
    <w:p>
      <w:pPr>
        <w:pStyle w:val="ListeParagraf"/>
        <w:spacing w:after="80"/>
        <w:ind w:left="709" w:right="0"/>
        <w:jc w:val="both"/>
      </w:pPr>
      <w:r>
        <w:rPr>
          <w:rFonts w:ascii="Calibri" w:hAnsi="Calibri" w:cs="Arial"/>
          <w:sz w:val="24"/>
          <w:szCs w:val="24"/>
        </w:rPr>
        <w:t xml:space="preserve">2.1. Kalite Güvence en az yılda iki kez rastgele seçilen sevk edilmiş bir sipariş üzerinde sanal geri çağırma yapar.</w:t>
      </w:r>
    </w:p>
    <w:p>
      <w:pPr>
        <w:pStyle w:val="ListeParagraf"/>
        <w:spacing w:after="80"/>
        <w:ind w:left="709" w:right="0"/>
        <w:jc w:val="both"/>
      </w:pPr>
      <w:r>
        <w:rPr>
          <w:rFonts w:ascii="Calibri" w:hAnsi="Calibri" w:cs="Arial"/>
          <w:sz w:val="24"/>
          <w:szCs w:val="24"/>
        </w:rPr>
        <w:t xml:space="preserve">2.2. Hedef, siparişin %100'ünü 4 saat içinde hammaddelere geriye ve müşteriye ileriye doğru izlemektir; sonuçlar ve eksikler kaydedilir ve giderilir.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GERİ ÇAĞIRMA KARARI</w:t>
      </w:r>
    </w:p>
    <w:p>
      <w:pPr>
        <w:pStyle w:val="ListeParagraf"/>
        <w:spacing w:after="80"/>
        <w:ind w:left="709" w:right="0"/>
        <w:jc w:val="both"/>
      </w:pPr>
      <w:r>
        <w:rPr>
          <w:rFonts w:ascii="Calibri" w:hAnsi="Calibri" w:cs="Arial"/>
          <w:sz w:val="24"/>
          <w:szCs w:val="24"/>
        </w:rPr>
        <w:t xml:space="preserve">3.1. Sevkiyattan sonra bir ürün güvenliği riski (örneğin kırık iğne, kısıtlı madde veya başarısız güvenlik testi) tespit edildiğinde ya da müşteri talep ettiğinde geri çağırma veya çekme değerlendirilir.</w:t>
      </w:r>
    </w:p>
    <w:p>
      <w:pPr>
        <w:pStyle w:val="ListeParagraf"/>
        <w:spacing w:after="80"/>
        <w:ind w:left="709" w:right="0"/>
        <w:jc w:val="both"/>
      </w:pPr>
      <w:r>
        <w:rPr>
          <w:rFonts w:ascii="Calibri" w:hAnsi="Calibri" w:cs="Arial"/>
          <w:sz w:val="24"/>
          <w:szCs w:val="24"/>
        </w:rPr>
        <w:t xml:space="preserve">3.2. Kalite Güvence Müdürü geri çağırma ekibini (KG, Üretim, Depo, Sevkiyat, Pazarlama) 24 saat içinde toplar.</w:t>
      </w:r>
    </w:p>
    <w:p>
      <w:pPr>
        <w:pStyle w:val="ListeParagraf"/>
        <w:spacing w:after="80"/>
        <w:ind w:left="709" w:right="0"/>
        <w:jc w:val="both"/>
      </w:pPr>
      <w:r>
        <w:rPr>
          <w:rFonts w:ascii="Calibri" w:hAnsi="Calibri" w:cs="Arial"/>
          <w:sz w:val="24"/>
          <w:szCs w:val="24"/>
        </w:rPr>
        <w:t xml:space="preserve">3.3. Ekip etkilenen lotları, miktarları, sevkiyatları ve müşterileri belirler, riski değerlendirir ve aksiyonu önerir; Genel Müdür kararı onaylar.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GERİ ÇAĞIRMANIN UYGULANMASI</w:t>
      </w:r>
    </w:p>
    <w:p>
      <w:pPr>
        <w:pStyle w:val="ListeParagraf"/>
        <w:spacing w:after="80"/>
        <w:ind w:left="709" w:right="0"/>
        <w:jc w:val="both"/>
      </w:pPr>
      <w:r>
        <w:rPr>
          <w:rFonts w:ascii="Calibri" w:hAnsi="Calibri" w:cs="Arial"/>
          <w:sz w:val="24"/>
          <w:szCs w:val="24"/>
        </w:rPr>
        <w:t xml:space="preserve">4.1. Müşteri gecikmeden yazılı olarak bilgilendirilir ve geri çağırma müşteriyle koordineli yürütülür.</w:t>
      </w:r>
    </w:p>
    <w:p>
      <w:pPr>
        <w:pStyle w:val="ListeParagraf"/>
        <w:spacing w:after="80"/>
        <w:ind w:left="709" w:right="0"/>
        <w:jc w:val="both"/>
      </w:pPr>
      <w:r>
        <w:rPr>
          <w:rFonts w:ascii="Calibri" w:hAnsi="Calibri" w:cs="Arial"/>
          <w:sz w:val="24"/>
          <w:szCs w:val="24"/>
        </w:rPr>
        <w:t xml:space="preserve">4.2. Fabrikada kalan etkilenen lotların stoku bekletilir ve etiketlenir.</w:t>
      </w:r>
    </w:p>
    <w:p>
      <w:pPr>
        <w:pStyle w:val="ListeParagraf"/>
        <w:spacing w:after="80"/>
        <w:ind w:left="709" w:right="0"/>
        <w:jc w:val="both"/>
      </w:pPr>
      <w:r>
        <w:rPr>
          <w:rFonts w:ascii="Calibri" w:hAnsi="Calibri" w:cs="Arial"/>
          <w:sz w:val="24"/>
          <w:szCs w:val="24"/>
        </w:rPr>
        <w:t xml:space="preserve">4.3. İade edilen ürünler sayılır, kontrol edilir ve ayrıştırılır; müşterinin talimatlarına göre tamir edilir, imha edilir veya kayıtla bertaraf edilir.</w:t>
      </w:r>
    </w:p>
    <w:p>
      <w:pPr>
        <w:pStyle w:val="ListeParagraf"/>
        <w:spacing w:after="80"/>
        <w:ind w:left="709" w:right="0"/>
        <w:jc w:val="both"/>
      </w:pPr>
      <w:r>
        <w:rPr>
          <w:rFonts w:ascii="Calibri" w:hAnsi="Calibri" w:cs="Arial"/>
          <w:sz w:val="24"/>
          <w:szCs w:val="24"/>
        </w:rPr>
        <w:t xml:space="preserve">4.4. Kök neden analizi yapılır ve düzeltici faaliyet açılır.</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İZLEME VE PERFORMANS</w:t>
      </w:r>
    </w:p>
    <w:p>
      <w:pPr>
        <w:pStyle w:val="ListeParagraf"/>
        <w:spacing w:after="80"/>
        <w:ind w:left="709" w:right="0"/>
        <w:jc w:val="both"/>
      </w:pPr>
      <w:r>
        <w:rPr>
          <w:rFonts w:ascii="Calibri" w:hAnsi="Calibri" w:cs="Arial"/>
          <w:sz w:val="24"/>
          <w:szCs w:val="24"/>
        </w:rPr>
        <w:t xml:space="preserve">5.1. Kalite Güvence aşağıdaki göstergeleri yönetimin gözden geçirmesine raporlar:</w:t>
      </w:r>
    </w:p>
    <w:p>
      <w:pPr>
        <w:pStyle w:val="ListeParagraf"/>
        <w:numPr>
          <w:ilvl w:val="0"/>
          <w:numId w:val="1"/>
        </w:numPr>
        <w:spacing w:after="60"/>
        <w:jc w:val="both"/>
      </w:pPr>
      <w:r>
        <w:rPr>
          <w:rFonts w:ascii="Calibri" w:hAnsi="Calibri" w:cs="Arial"/>
          <w:sz w:val="24"/>
          <w:szCs w:val="24"/>
        </w:rPr>
        <w:t xml:space="preserve">Sanal geri çağırma sonuçları (izlenebilirlik % ve süre),</w:t>
      </w:r>
    </w:p>
    <w:p>
      <w:pPr>
        <w:pStyle w:val="ListeParagraf"/>
        <w:numPr>
          <w:ilvl w:val="0"/>
          <w:numId w:val="1"/>
        </w:numPr>
        <w:spacing w:after="60"/>
        <w:jc w:val="both"/>
      </w:pPr>
      <w:r>
        <w:rPr>
          <w:rFonts w:ascii="Calibri" w:hAnsi="Calibri" w:cs="Arial"/>
          <w:sz w:val="24"/>
          <w:szCs w:val="24"/>
        </w:rPr>
        <w:t xml:space="preserve">Geri çağırma ve çekme sayısı,</w:t>
      </w:r>
    </w:p>
    <w:p>
      <w:pPr>
        <w:pStyle w:val="ListeParagraf"/>
        <w:numPr>
          <w:ilvl w:val="0"/>
          <w:numId w:val="1"/>
        </w:numPr>
        <w:spacing w:after="60"/>
        <w:jc w:val="both"/>
      </w:pPr>
      <w:r>
        <w:rPr>
          <w:rFonts w:ascii="Calibri" w:hAnsi="Calibri" w:cs="Arial"/>
          <w:sz w:val="24"/>
          <w:szCs w:val="24"/>
        </w:rPr>
        <w:t xml:space="preserve">İlgili düzeltici faaliyetlerin tamamlanma oranı (%).</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İLGİLİ DOKÜMANLAR VE KAYITLAR</w:t>
      </w:r>
    </w:p>
    <w:p>
      <w:pPr>
        <w:pStyle w:val="ListeParagraf"/>
        <w:numPr>
          <w:ilvl w:val="0"/>
          <w:numId w:val="1"/>
        </w:numPr>
        <w:spacing w:after="60"/>
        <w:jc w:val="both"/>
      </w:pPr>
      <w:r>
        <w:rPr>
          <w:rFonts w:ascii="Calibri" w:hAnsi="Calibri" w:cs="Arial"/>
          <w:sz w:val="24"/>
          <w:szCs w:val="24"/>
        </w:rPr>
        <w:t xml:space="preserve">Malzeme Kabul Kayıtları ve Lot Kayıtları</w:t>
      </w:r>
    </w:p>
    <w:p>
      <w:pPr>
        <w:pStyle w:val="ListeParagraf"/>
        <w:numPr>
          <w:ilvl w:val="0"/>
          <w:numId w:val="1"/>
        </w:numPr>
        <w:spacing w:after="60"/>
        <w:jc w:val="both"/>
      </w:pPr>
      <w:r>
        <w:rPr>
          <w:rFonts w:ascii="Calibri" w:hAnsi="Calibri" w:cs="Arial"/>
          <w:sz w:val="24"/>
          <w:szCs w:val="24"/>
        </w:rPr>
        <w:t xml:space="preserve">Üretim, Paket ve Paketleme Kayıtları</w:t>
      </w:r>
    </w:p>
    <w:p>
      <w:pPr>
        <w:pStyle w:val="ListeParagraf"/>
        <w:numPr>
          <w:ilvl w:val="0"/>
          <w:numId w:val="1"/>
        </w:numPr>
        <w:spacing w:after="60"/>
        <w:jc w:val="both"/>
      </w:pPr>
      <w:r>
        <w:rPr>
          <w:rFonts w:ascii="Calibri" w:hAnsi="Calibri" w:cs="Arial"/>
          <w:sz w:val="24"/>
          <w:szCs w:val="24"/>
        </w:rPr>
        <w:t xml:space="preserve">Sanal Geri Çağırma Raporları ve Geri Çağırma Kayıtları</w:t>
      </w:r>
    </w:p>
    <w:p>
      <w:pPr>
        <w:pStyle w:val="ListeParagraf"/>
        <w:numPr>
          <w:ilvl w:val="0"/>
          <w:numId w:val="1"/>
        </w:numPr>
        <w:spacing w:after="60"/>
        <w:jc w:val="both"/>
      </w:pPr>
      <w:r>
        <w:rPr>
          <w:rFonts w:ascii="Calibri" w:hAnsi="Calibri" w:cs="Arial"/>
          <w:sz w:val="24"/>
          <w:szCs w:val="24"/>
        </w:rPr>
        <w:t xml:space="preserve">EMS.QA.PRO.02.06. Uygunsuzluk Bildirim Prosedürü</w:t>
      </w:r>
    </w:p>
    <w:p>
      <w:pPr>
        <w:pStyle w:val="ListeParagraf"/>
        <w:numPr>
          <w:ilvl w:val="0"/>
          <w:numId w:val="1"/>
        </w:numPr>
        <w:spacing w:after="60"/>
        <w:jc w:val="both"/>
      </w:pPr>
      <w:r>
        <w:rPr>
          <w:rFonts w:ascii="Calibri" w:hAnsi="Calibri" w:cs="Arial"/>
          <w:sz w:val="24"/>
          <w:szCs w:val="24"/>
        </w:rPr>
        <w:t xml:space="preserve">EMS.QA.PRO.02.10. Müşteri Şikâyeti Yönetimi Prosedürü</w:t>
      </w:r>
    </w:p>
    <w:p>
      <w:pPr>
        <w:pStyle w:val="ListeParagraf"/>
        <w:numPr>
          <w:ilvl w:val="0"/>
          <w:numId w:val="1"/>
        </w:numPr>
        <w:spacing w:after="60"/>
        <w:jc w:val="both"/>
      </w:pPr>
      <w:r>
        <w:rPr>
          <w:rFonts w:ascii="Calibri" w:hAnsi="Calibri" w:cs="Arial"/>
          <w:sz w:val="24"/>
          <w:szCs w:val="24"/>
        </w:rPr>
        <w:t xml:space="preserve">EMS.GR.PRO.14.01. GRS/RCS Malzeme Kabul, Ayrıştırma ve Kütle Dengesi Prosedürü</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GERİ BİLDİRİM VE İZLEME</w:t>
      </w:r>
    </w:p>
    <w:p>
      <w:pPr>
        <w:pStyle w:val="ListeParagraf"/>
        <w:spacing w:after="80"/>
        <w:ind w:left="709" w:right="0"/>
        <w:jc w:val="both"/>
      </w:pPr>
      <w:r>
        <w:rPr>
          <w:rFonts w:ascii="Calibri" w:hAnsi="Calibri" w:cs="Arial"/>
          <w:sz w:val="24"/>
          <w:szCs w:val="24"/>
        </w:rPr>
        <w:t xml:space="preserve">Bu prosedür Kalite Güvence Müdürü tarafından her yıl gözden geçirilir. Sanal geri çağırma sonuçları, müşteri geri bildirimleri ve olaylar değerlendirilir ve gerekirse prosedür revize edilir.</w:t>
      </w:r>
    </w:p>
    <w:p>
      <w:r>
        <w:br w:type="page"/>
      </w:r>
    </w:p>
    <w:p/>
    <w:p w14:paraId="09C717F6" w14:textId="77777777" w:rsidR="00492105" w:rsidRDefault="00492105" w:rsidP="00E34A01">
      <w:pPr>
        <w:pStyle w:val="ListeParagraf"/>
        <w:ind w:left="709"/>
        <w:rPr>
          <w:rFonts w:ascii="Calibri" w:hAnsi="Calibri" w:cs="Calibri"/>
          <w:sz w:val="24"/>
          <w:szCs w:val="24"/>
        </w:rPr>
      </w:pPr>
    </w:p>
    <w:p>
      <w:pPr>
        <w:jc w:val="center"/>
      </w:pPr>
      <w:r>
        <w:rPr>
          <w:i/>
          <w:sz w:val="16"/>
          <w:color w:val="666666"/>
        </w:rPr>
        <w:t>Bu belge resmî EN+AR belgenin Türkçe çevirisidir; çelişki hâlinde resmî belge geçerlidir.</w:t>
      </w: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İZLENEBİLİRLİK VE ÜRÜN GERİ ÇAĞIRMA PROSEDÜRÜ</w:t>
          </w:r>
        </w:p>
        <w:p>
          <w:pPr>
            <w:pStyle w:val="GvdeMetni2"/>
            <w:bidi/>
            <w:spacing w:line="276" w:lineRule="auto"/>
            <w:jc w:val="center"/>
          </w:pPr>
          <w:r>
            <w:rPr>
              <w:rFonts w:asciiTheme="minorHAnsi" w:hAnsiTheme="minorHAnsi" w:cs="Arial"/>
              <w:b/>
              <w:bCs/>
              <w:color w:val="000000" w:themeColor="text1"/>
              <w:sz w:val="22"/>
              <w:szCs w:val="22"/>
              <w:rtl/>
            </w:rPr>
            <w:t>TRACEABILITY AND PRODUCT RECALL PROCEDURE</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EMS.QA.PRO.02.08.</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2.10.2026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EMS.QA.PRO.02.08. TRACEABILITY AND PRODUCT RECALL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