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AMAÇ</w:t>
      </w:r>
    </w:p>
    <w:p>
      <w:pPr>
        <w:pStyle w:val="ListeParagraf"/>
        <w:spacing w:after="80"/>
        <w:ind w:left="709" w:right="0"/>
        <w:jc w:val="both"/>
      </w:pPr>
      <w:r>
        <w:rPr>
          <w:rFonts w:ascii="Calibri" w:hAnsi="Calibri" w:cs="Arial"/>
          <w:sz w:val="24"/>
          <w:szCs w:val="24"/>
        </w:rPr>
        <w:t xml:space="preserve">Bu politika, Eroglu Knitting (EMS) olarak yangınları önleme, yangın ve diğer acil durumlara tam hazırlıklı olma ve çalışanların, ziyaretçilerin ve yüklenicilerin yaşamını, binaları, ürünleri ve çevreyi koruma taahhüdümüzü ortaya koyar.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KAPSAM</w:t>
      </w:r>
    </w:p>
    <w:p>
      <w:pPr>
        <w:pStyle w:val="ListeParagraf"/>
        <w:spacing w:after="80"/>
        <w:ind w:left="709" w:right="0"/>
        <w:jc w:val="both"/>
      </w:pPr>
      <w:r>
        <w:rPr>
          <w:rFonts w:ascii="Calibri" w:hAnsi="Calibri" w:cs="Arial"/>
          <w:sz w:val="24"/>
          <w:szCs w:val="24"/>
        </w:rPr>
        <w:t xml:space="preserve">Bu politika şunları kapsar:</w:t>
      </w:r>
    </w:p>
    <w:p>
      <w:pPr>
        <w:pStyle w:val="ListeParagraf"/>
        <w:spacing w:after="80"/>
        <w:ind w:left="709" w:right="0"/>
        <w:jc w:val="both"/>
      </w:pPr>
      <w:r>
        <w:rPr>
          <w:rFonts w:ascii="Calibri" w:hAnsi="Calibri" w:cs="Arial"/>
          <w:sz w:val="24"/>
          <w:szCs w:val="24"/>
        </w:rPr>
        <w:t xml:space="preserve">• Tüm üretim alanları: örme, boya ve terbiye, kesim, dikim, baskı, nakış ve paketleme,</w:t>
      </w:r>
    </w:p>
    <w:p>
      <w:pPr>
        <w:pStyle w:val="ListeParagraf"/>
        <w:spacing w:after="80"/>
        <w:ind w:left="709" w:right="0"/>
        <w:jc w:val="both"/>
      </w:pPr>
      <w:r>
        <w:rPr>
          <w:rFonts w:ascii="Calibri" w:hAnsi="Calibri" w:cs="Arial"/>
          <w:sz w:val="24"/>
          <w:szCs w:val="24"/>
        </w:rPr>
        <w:t xml:space="preserve">• Depolar, kimyasal depolar, kazan dairesi, jeneratör ve kompresör odaları, elektrik panoları ve ofisler,</w:t>
      </w:r>
    </w:p>
    <w:p>
      <w:pPr>
        <w:pStyle w:val="ListeParagraf"/>
        <w:spacing w:after="80"/>
        <w:ind w:left="709" w:right="0"/>
        <w:jc w:val="both"/>
      </w:pPr>
      <w:r>
        <w:rPr>
          <w:rFonts w:ascii="Calibri" w:hAnsi="Calibri" w:cs="Arial"/>
          <w:sz w:val="24"/>
          <w:szCs w:val="24"/>
        </w:rPr>
        <w:t xml:space="preserve">• Yemekhane, yatakhane veya dinlenme alanları (varsa), otoparklar ve tesisin tüm açık alanları.</w:t>
      </w:r>
    </w:p>
    <w:p>
      <w:pPr>
        <w:pStyle w:val="ListeParagraf"/>
        <w:spacing w:after="80"/>
        <w:ind w:left="709" w:right="0"/>
        <w:jc w:val="both"/>
      </w:pPr>
      <w:r>
        <w:rPr>
          <w:rFonts w:ascii="Calibri" w:hAnsi="Calibri" w:cs="Arial"/>
          <w:sz w:val="24"/>
          <w:szCs w:val="24"/>
        </w:rPr>
        <w:t xml:space="preserve">Tesisteki tüm EMS çalışanları, ziyaretçiler, yükleniciler ve hizmet sağlayıcılar için geçerlidir.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SORUMLULUKLAR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Genel Müdür:</w:t>
      </w:r>
      <w:r>
        <w:rPr>
          <w:rFonts w:ascii="Calibri" w:hAnsi="Calibri" w:cs="Arial"/>
          <w:sz w:val="24"/>
          <w:szCs w:val="24"/>
        </w:rPr>
        <w:t xml:space="preserve"> Politikayı onaylar ve yangın güvenliği ve sivil savunma için gerekli kaynakları (ekipman, eğitim, bütçe) sağlar.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İSG Müdürü / Sivil Savunma Sorumlusu:</w:t>
      </w:r>
      <w:r>
        <w:rPr>
          <w:rFonts w:ascii="Calibri" w:hAnsi="Calibri" w:cs="Arial"/>
          <w:sz w:val="24"/>
          <w:szCs w:val="24"/>
        </w:rPr>
        <w:t xml:space="preserve"> Politikayı uygular; yangın risk değerlendirmesini, ekipman kontrolünü, tatbikatları ve sivil savunma ekibini yönetir.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Bölüm Müdürleri:</w:t>
      </w:r>
      <w:r>
        <w:rPr>
          <w:rFonts w:ascii="Calibri" w:hAnsi="Calibri" w:cs="Arial"/>
          <w:sz w:val="24"/>
          <w:szCs w:val="24"/>
        </w:rPr>
        <w:t xml:space="preserve"> Alanlarını yangın tehlikelerinden arındırır, çıkışları ve geçitleri açık tutar ve tatbikatlara destek verir.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Çalışanlar:</w:t>
      </w:r>
      <w:r>
        <w:rPr>
          <w:rFonts w:ascii="Calibri" w:hAnsi="Calibri" w:cs="Arial"/>
          <w:sz w:val="24"/>
          <w:szCs w:val="24"/>
        </w:rPr>
        <w:t xml:space="preserve"> Yangın güvenliği kurallarına uyar, çıkışları veya ekipmanı engellemez, tehlikeleri bildirir ve tatbikat ve eğitimlere katılır.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TANIMLAR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Sivil Savunma Ekibi:</w:t>
      </w:r>
      <w:r>
        <w:rPr>
          <w:rFonts w:ascii="Calibri" w:hAnsi="Calibri" w:cs="Arial"/>
          <w:sz w:val="24"/>
          <w:szCs w:val="24"/>
        </w:rPr>
        <w:t xml:space="preserve"> Acil durumda yangınla mücadele, tahliye, ilk yardım ve kurtarmadan sorumlu eğitimli çalışan ekibi.</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Yangın Risk Değerlendirmesi:</w:t>
      </w:r>
      <w:r>
        <w:rPr>
          <w:rFonts w:ascii="Calibri" w:hAnsi="Calibri" w:cs="Arial"/>
          <w:sz w:val="24"/>
          <w:szCs w:val="24"/>
        </w:rPr>
        <w:t xml:space="preserve"> Yangın tehlikelerinin, risk altındaki kişilerin ve gerekli kontrol önlemlerinin sistematik olarak belirlenmesi.</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Toplanma Noktası:</w:t>
      </w:r>
      <w:r>
        <w:rPr>
          <w:rFonts w:ascii="Calibri" w:hAnsi="Calibri" w:cs="Arial"/>
          <w:sz w:val="24"/>
          <w:szCs w:val="24"/>
        </w:rPr>
        <w:t xml:space="preserve"> Tahliyeden sonra tüm kişilerin toplandığı ve sayıldığı, bina dışındaki işaretli güvenli alan.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POLİTİKA TAAHHÜTLERİ</w:t>
      </w:r>
    </w:p>
    <w:p>
      <w:pPr>
        <w:pStyle w:val="ListeParagraf"/>
        <w:spacing w:before="120" w:after="60"/>
        <w:ind w:left="709" w:right="0"/>
      </w:pPr>
      <w:r>
        <w:rPr>
          <w:rFonts w:ascii="Calibri" w:hAnsi="Calibri" w:cs="Arial"/>
          <w:b/>
          <w:bCs/>
          <w:sz w:val="24"/>
          <w:szCs w:val="24"/>
        </w:rPr>
        <w:t xml:space="preserve">1. TAAHHÜTLERİMİZ</w:t>
      </w:r>
    </w:p>
    <w:p>
      <w:pPr>
        <w:pStyle w:val="ListeParagraf"/>
        <w:spacing w:after="80"/>
        <w:ind w:left="709" w:right="0"/>
        <w:jc w:val="both"/>
      </w:pPr>
      <w:r>
        <w:rPr>
          <w:rFonts w:ascii="Calibri" w:hAnsi="Calibri" w:cs="Arial"/>
          <w:sz w:val="24"/>
          <w:szCs w:val="24"/>
        </w:rPr>
        <w:t xml:space="preserve">1.1. EMS şunları taahhüt eder:</w:t>
      </w:r>
    </w:p>
    <w:p>
      <w:pPr>
        <w:pStyle w:val="ListeParagraf"/>
        <w:numPr>
          <w:ilvl w:val="0"/>
          <w:numId w:val="1"/>
        </w:numPr>
        <w:spacing w:after="60"/>
        <w:jc w:val="both"/>
      </w:pPr>
      <w:r>
        <w:rPr>
          <w:rFonts w:ascii="Calibri" w:hAnsi="Calibri" w:cs="Arial"/>
          <w:sz w:val="24"/>
          <w:szCs w:val="24"/>
        </w:rPr>
        <w:t xml:space="preserve">Tüm alanlarda yangın risklerini belirlemek ve kontrol altında tutmak; hav, kimyasallar, kazanlar ve elektrik tesisatına özel dikkat göstermek.</w:t>
      </w:r>
    </w:p>
    <w:p>
      <w:pPr>
        <w:pStyle w:val="ListeParagraf"/>
        <w:numPr>
          <w:ilvl w:val="0"/>
          <w:numId w:val="1"/>
        </w:numPr>
        <w:spacing w:after="60"/>
        <w:jc w:val="both"/>
      </w:pPr>
      <w:r>
        <w:rPr>
          <w:rFonts w:ascii="Calibri" w:hAnsi="Calibri" w:cs="Arial"/>
          <w:sz w:val="24"/>
          <w:szCs w:val="24"/>
        </w:rPr>
        <w:t xml:space="preserve">Geçerli Mısır mevzuatına, sivil savunma kurumu şartlarına, müşteri şartlarına ve ISO 45001 ile ISO 14001'e uymak.</w:t>
      </w:r>
    </w:p>
    <w:p>
      <w:pPr>
        <w:pStyle w:val="ListeParagraf"/>
        <w:numPr>
          <w:ilvl w:val="0"/>
          <w:numId w:val="1"/>
        </w:numPr>
        <w:spacing w:after="60"/>
        <w:jc w:val="both"/>
      </w:pPr>
      <w:r>
        <w:rPr>
          <w:rFonts w:ascii="Calibri" w:hAnsi="Calibri" w:cs="Arial"/>
          <w:sz w:val="24"/>
          <w:szCs w:val="24"/>
        </w:rPr>
        <w:t xml:space="preserve">Uygun yangın algılama, alarm ve söndürme ekipmanını her zaman sağlamak, bakımını yapmak ve kontrol etmek.</w:t>
      </w:r>
    </w:p>
    <w:p>
      <w:pPr>
        <w:pStyle w:val="ListeParagraf"/>
        <w:numPr>
          <w:ilvl w:val="0"/>
          <w:numId w:val="1"/>
        </w:numPr>
        <w:spacing w:after="60"/>
        <w:jc w:val="both"/>
      </w:pPr>
      <w:r>
        <w:rPr>
          <w:rFonts w:ascii="Calibri" w:hAnsi="Calibri" w:cs="Arial"/>
          <w:sz w:val="24"/>
          <w:szCs w:val="24"/>
        </w:rPr>
        <w:t xml:space="preserve">Tüm acil çıkışları, kaçış yollarını ve geçitleri kilitsiz, açıkça işaretli, aydınlatılmış ve engelsiz tutmak.</w:t>
      </w:r>
    </w:p>
    <w:p>
      <w:pPr>
        <w:pStyle w:val="ListeParagraf"/>
        <w:numPr>
          <w:ilvl w:val="0"/>
          <w:numId w:val="1"/>
        </w:numPr>
        <w:spacing w:after="60"/>
        <w:jc w:val="both"/>
      </w:pPr>
      <w:r>
        <w:rPr>
          <w:rFonts w:ascii="Calibri" w:hAnsi="Calibri" w:cs="Arial"/>
          <w:sz w:val="24"/>
          <w:szCs w:val="24"/>
        </w:rPr>
        <w:t xml:space="preserve">Tüm çalışanları yangın güvenliği ve tahliye konusunda eğitmek, her vardiyada yetkin ve tam donanımlı bir sivil savunma ekibi bulundurmak.</w:t>
      </w:r>
    </w:p>
    <w:p>
      <w:pPr>
        <w:pStyle w:val="ListeParagraf"/>
        <w:numPr>
          <w:ilvl w:val="0"/>
          <w:numId w:val="1"/>
        </w:numPr>
        <w:spacing w:after="60"/>
        <w:jc w:val="both"/>
      </w:pPr>
      <w:r>
        <w:rPr>
          <w:rFonts w:ascii="Calibri" w:hAnsi="Calibri" w:cs="Arial"/>
          <w:sz w:val="24"/>
          <w:szCs w:val="24"/>
        </w:rPr>
        <w:t xml:space="preserve">Tüm vardiyalarda düzenli tahliye tatbikatları yapmak ve her tatbikat ve olaydan ders çıkarmak.</w:t>
      </w:r>
    </w:p>
    <w:p>
      <w:pPr>
        <w:pStyle w:val="ListeParagraf"/>
        <w:numPr>
          <w:ilvl w:val="0"/>
          <w:numId w:val="1"/>
        </w:numPr>
        <w:spacing w:after="60"/>
        <w:jc w:val="both"/>
      </w:pPr>
      <w:r>
        <w:rPr>
          <w:rFonts w:ascii="Calibri" w:hAnsi="Calibri" w:cs="Arial"/>
          <w:sz w:val="24"/>
          <w:szCs w:val="24"/>
        </w:rPr>
        <w:t xml:space="preserve">Üretim ve depolama alanlarında sigara içmeyi ve açık alevi yasaklamak, tüm sıcak işleri izinle kontrol etmek.</w:t>
      </w:r>
    </w:p>
    <w:p>
      <w:pPr>
        <w:pStyle w:val="ListeParagraf"/>
        <w:numPr>
          <w:ilvl w:val="0"/>
          <w:numId w:val="1"/>
        </w:numPr>
        <w:spacing w:after="60"/>
        <w:jc w:val="both"/>
      </w:pPr>
      <w:r>
        <w:rPr>
          <w:rFonts w:ascii="Calibri" w:hAnsi="Calibri" w:cs="Arial"/>
          <w:sz w:val="24"/>
          <w:szCs w:val="24"/>
        </w:rPr>
        <w:t xml:space="preserve">Eksiksiz kayıt tutmak ve yangın güvenliği performansını sürekli iyileştirmek.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GÖZDEN GEÇİRME</w:t>
      </w:r>
    </w:p>
    <w:p>
      <w:pPr>
        <w:pStyle w:val="ListeParagraf"/>
        <w:spacing w:after="80"/>
        <w:ind w:left="709" w:right="0"/>
        <w:jc w:val="both"/>
      </w:pPr>
      <w:r>
        <w:rPr>
          <w:rFonts w:ascii="Calibri" w:hAnsi="Calibri" w:cs="Arial"/>
          <w:sz w:val="24"/>
          <w:szCs w:val="24"/>
        </w:rPr>
        <w:t xml:space="preserve">Bu politika her yıl yönetimin gözden geçirmesinde veya bir yangın, önemli bir değişiklik ya da yeni yasal şart sonrasında daha erken gözden geçirilir. Tüm çalışanlara duyurulur ve Arapça olarak ilan panolarında asılır.</w:t>
      </w:r>
    </w:p>
    <w:p>
      <w:r>
        <w:br w:type="page"/>
      </w:r>
    </w:p>
    <w:p/>
    <w:p w14:paraId="09C717F6" w14:textId="77777777" w:rsidR="00492105" w:rsidRDefault="00492105" w:rsidP="00E34A01">
      <w:pPr>
        <w:pStyle w:val="ListeParagraf"/>
        <w:ind w:left="709"/>
        <w:rPr>
          <w:rFonts w:ascii="Calibri" w:hAnsi="Calibri" w:cs="Calibri"/>
          <w:sz w:val="24"/>
          <w:szCs w:val="24"/>
        </w:rPr>
      </w:pPr>
    </w:p>
    <w:p>
      <w:pPr>
        <w:jc w:val="center"/>
      </w:pPr>
      <w:r>
        <w:rPr>
          <w:i/>
          <w:sz w:val="16"/>
          <w:color w:val="666666"/>
        </w:rPr>
        <w:t>Bu belge resmî EN+AR belgenin Türkçe çevirisidir; çelişki hâlinde resmî belge geçerlidir.</w:t>
      </w: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YANGIN GÜVENLİĞİ VE SİVİL SAVUNMA POLİTİKASI</w:t>
          </w:r>
        </w:p>
        <w:p>
          <w:pPr>
            <w:pStyle w:val="GvdeMetni2"/>
            <w:bidi/>
            <w:spacing w:line="276" w:lineRule="auto"/>
            <w:jc w:val="center"/>
          </w:pPr>
          <w:r>
            <w:rPr>
              <w:rFonts w:asciiTheme="minorHAnsi" w:hAnsiTheme="minorHAnsi" w:cs="Arial"/>
              <w:b/>
              <w:bCs/>
              <w:color w:val="000000" w:themeColor="text1"/>
              <w:sz w:val="22"/>
              <w:szCs w:val="22"/>
              <w:rtl/>
            </w:rPr>
            <w:t>FIRE SAFETY AND CIVIL DEFENCE POLICY</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EMS.SS.POL.10.01.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EMS.SS.POL.10.01. FIRE SAFETY AND CIVIL DEFENCE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