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a nonconformance (nonconformity) is reported, recorded, escalated, notified to the parties concerned and closed with a Nonconformance Report (NCR) at Eroglu Knitting (EMS). It ensures that every deviation from a requirement is reported on the same day, is traceable, receives a root cause analysis and a corrective action, and that customers, suppliers and authorities are notified when required (ISO 9001:2015, clauses 8.7 and 10.2). The physical control and disposition of the nonconforming product are described in EMS.KS.PRO.22.02 and the corrective and preventive action method in EMS.KS.PRO.22.03; this procedure does not repeat them but links them through the NCR.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nonconformities found in yarn, fabric, trims, accessories, chemicals, packaging, cut panels, semi-finished products, garments and packed goods at any stage, from incoming inspection to shipment, including laboratory test failures, safety defects, metal findings, goods returned by customers and goods from suppliers and subcontractors. Nonconformities of the management system found in internal audits follow EMS.YS.PRO.11.02 and customer complaints follow EMS.QA.PRO.02.10; both link to the NCR where product is involved.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 and Inspectors:</w:t>
      </w:r>
      <w:r>
        <w:rPr>
          <w:rFonts w:ascii="Calibri" w:hAnsi="Calibri" w:cs="Arial"/>
          <w:sz w:val="24"/>
          <w:szCs w:val="24"/>
        </w:rPr>
        <w:t xml:space="preserve"> Stop the work when they find a nonconformity, tag the product and inform the supervisor immediately.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 and Manager:</w:t>
      </w:r>
      <w:r>
        <w:rPr>
          <w:rFonts w:ascii="Calibri" w:hAnsi="Calibri" w:cs="Arial"/>
          <w:sz w:val="24"/>
          <w:szCs w:val="24"/>
        </w:rPr>
        <w:t xml:space="preserve"> Open the NCR with the Quality Assurance inspector, ensure containment and carry out the agreed correction.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this procedure, classifies the NCR, keeps the NCR register, decides on customer and authority notification and verifies closure.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Material Review Board (MRB):</w:t>
      </w:r>
      <w:r>
        <w:rPr>
          <w:rFonts w:ascii="Calibri" w:hAnsi="Calibri" w:cs="Arial"/>
          <w:sz w:val="24"/>
          <w:szCs w:val="24"/>
        </w:rPr>
        <w:t xml:space="preserve"> Decides the disposition of the nonconforming product (EMS.KS.PRO.22.02).</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Notifies the supplier or subcontractor, requests the supplier response (8D) and follows the claim (EMS.SA.PRO.04.03).</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 and Customer Representative:</w:t>
      </w:r>
      <w:r>
        <w:rPr>
          <w:rFonts w:ascii="Calibri" w:hAnsi="Calibri" w:cs="Arial"/>
          <w:sz w:val="24"/>
          <w:szCs w:val="24"/>
        </w:rPr>
        <w:t xml:space="preserve"> Notify the customer and obtain the concession or approval when it is required.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Is informed immediately of critical NCRs and approves exceptional decisions.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Nonconformance (Nonconformity):</w:t>
      </w:r>
      <w:r>
        <w:rPr>
          <w:rFonts w:ascii="Calibri" w:hAnsi="Calibri" w:cs="Arial"/>
          <w:sz w:val="24"/>
          <w:szCs w:val="24"/>
        </w:rPr>
        <w:t xml:space="preserve"> The non-fulfilment of a requirement of the customer, law, product safety, specification or company standard.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NCR (Nonconformance Report):</w:t>
      </w:r>
      <w:r>
        <w:rPr>
          <w:rFonts w:ascii="Calibri" w:hAnsi="Calibri" w:cs="Arial"/>
          <w:sz w:val="24"/>
          <w:szCs w:val="24"/>
        </w:rPr>
        <w:t xml:space="preserve"> The record that describes the nonconformity, its containment, root cause, correction and corrective action, and the closure evidence.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Containment:</w:t>
      </w:r>
      <w:r>
        <w:rPr>
          <w:rFonts w:ascii="Calibri" w:hAnsi="Calibri" w:cs="Arial"/>
          <w:sz w:val="24"/>
          <w:szCs w:val="24"/>
        </w:rPr>
        <w:t xml:space="preserve"> The immediate action that stops the nonconforming product from being used, processed or shipped.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Correction:</w:t>
      </w:r>
      <w:r>
        <w:rPr>
          <w:rFonts w:ascii="Calibri" w:hAnsi="Calibri" w:cs="Arial"/>
          <w:sz w:val="24"/>
          <w:szCs w:val="24"/>
        </w:rPr>
        <w:t xml:space="preserve"> The action taken to eliminate the detected nonconformity, such as rework, repair, regrade or scrap.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Action (CAPA):</w:t>
      </w:r>
      <w:r>
        <w:rPr>
          <w:rFonts w:ascii="Calibri" w:hAnsi="Calibri" w:cs="Arial"/>
          <w:sz w:val="24"/>
          <w:szCs w:val="24"/>
        </w:rPr>
        <w:t xml:space="preserve"> The action that eliminates the root cause to prevent recurrence.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NCR:</w:t>
      </w:r>
      <w:r>
        <w:rPr>
          <w:rFonts w:ascii="Calibri" w:hAnsi="Calibri" w:cs="Arial"/>
          <w:sz w:val="24"/>
          <w:szCs w:val="24"/>
        </w:rPr>
        <w:t xml:space="preserve"> A nonconformity that affects product safety (for example metal, restricted substances), legal compliance or a shipped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Concession:</w:t>
      </w:r>
      <w:r>
        <w:rPr>
          <w:rFonts w:ascii="Calibri" w:hAnsi="Calibri" w:cs="Arial"/>
          <w:sz w:val="24"/>
          <w:szCs w:val="24"/>
        </w:rPr>
        <w:t xml:space="preserve"> The written permission of the customer to use or deliver a product that does not meet the specified requirement.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DETECTION AND IMMEDIATE ACTION</w:t>
      </w:r>
    </w:p>
    <w:p>
      <w:pPr>
        <w:pStyle w:val="ListeParagraf"/>
        <w:spacing w:after="80"/>
        <w:ind w:left="709" w:right="0"/>
        <w:jc w:val="both"/>
      </w:pPr>
      <w:r>
        <w:rPr>
          <w:rFonts w:ascii="Calibri" w:hAnsi="Calibri" w:cs="Arial"/>
          <w:sz w:val="24"/>
          <w:szCs w:val="24"/>
        </w:rPr>
        <w:t xml:space="preserve">1.1. Any person who finds a nonconformity stops the process, tags the product with the red "Nonconforming" tag and informs the supervisor and the Quality Assurance inspector immediately.</w:t>
      </w:r>
    </w:p>
    <w:p>
      <w:pPr>
        <w:pStyle w:val="ListeParagraf"/>
        <w:spacing w:after="80"/>
        <w:ind w:left="709" w:right="0"/>
        <w:jc w:val="both"/>
      </w:pPr>
      <w:r>
        <w:rPr>
          <w:rFonts w:ascii="Calibri" w:hAnsi="Calibri" w:cs="Arial"/>
          <w:sz w:val="24"/>
          <w:szCs w:val="24"/>
        </w:rPr>
        <w:t xml:space="preserve">1.2. The product is moved to the marked quarantine area or blocked in the system so that it cannot be used or shipped (EMS.KS.PRO.22.02).</w:t>
      </w:r>
    </w:p>
    <w:p>
      <w:pPr>
        <w:pStyle w:val="ListeParagraf"/>
        <w:spacing w:after="80"/>
        <w:ind w:left="709" w:right="0"/>
        <w:jc w:val="both"/>
      </w:pPr>
      <w:r>
        <w:rPr>
          <w:rFonts w:ascii="Calibri" w:hAnsi="Calibri" w:cs="Arial"/>
          <w:sz w:val="24"/>
          <w:szCs w:val="24"/>
        </w:rPr>
        <w:t xml:space="preserve">1.3. If product may already have reached the next process, storage or the customer, the quantity and lots concerned are identified using the traceability system (EMS.QA.PRO.02.08).</w:t>
      </w:r>
    </w:p>
    <w:p>
      <w:pPr>
        <w:pStyle w:val="ListeParagraf"/>
        <w:spacing w:after="80"/>
        <w:ind w:left="709" w:right="0"/>
        <w:jc w:val="both"/>
      </w:pPr>
      <w:r>
        <w:rPr>
          <w:rFonts w:ascii="Calibri" w:hAnsi="Calibri" w:cs="Arial"/>
          <w:sz w:val="24"/>
          <w:szCs w:val="24"/>
        </w:rPr>
        <w:t xml:space="preserve">1.4. A failed laboratory result, a metal alarm on a released lot or a safety defect is treated as an NCR immediately and production of the lot is stopped until Quality Assurance decides.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OPENING THE NCR</w:t>
      </w:r>
    </w:p>
    <w:p>
      <w:pPr>
        <w:pStyle w:val="ListeParagraf"/>
        <w:spacing w:after="80"/>
        <w:ind w:left="709" w:right="0"/>
        <w:jc w:val="both"/>
      </w:pPr>
      <w:r>
        <w:rPr>
          <w:rFonts w:ascii="Calibri" w:hAnsi="Calibri" w:cs="Arial"/>
          <w:sz w:val="24"/>
          <w:szCs w:val="24"/>
        </w:rPr>
        <w:t xml:space="preserve">2.1. The Quality Assurance inspector opens the NCR on the same working day. For incoming goods the Material Nonconformity Notification Form (EMS.DP.FRM.08.02) is used and linked to the NCR.</w:t>
      </w:r>
    </w:p>
    <w:p>
      <w:pPr>
        <w:pStyle w:val="ListeParagraf"/>
        <w:spacing w:after="80"/>
        <w:ind w:left="709" w:right="0"/>
        <w:jc w:val="both"/>
      </w:pPr>
      <w:r>
        <w:rPr>
          <w:rFonts w:ascii="Calibri" w:hAnsi="Calibri" w:cs="Arial"/>
          <w:sz w:val="24"/>
          <w:szCs w:val="24"/>
        </w:rPr>
        <w:t xml:space="preserve">2.2. The NCR records: NCR number, date, location and process, order, style, lot and quantity, description of the nonconformity with photo or sample, the requirement not met, who found it and how, and the immediate containment.</w:t>
      </w:r>
    </w:p>
    <w:p>
      <w:pPr>
        <w:pStyle w:val="ListeParagraf"/>
        <w:spacing w:after="80"/>
        <w:ind w:left="709" w:right="0"/>
        <w:jc w:val="both"/>
      </w:pPr>
      <w:r>
        <w:rPr>
          <w:rFonts w:ascii="Calibri" w:hAnsi="Calibri" w:cs="Arial"/>
          <w:sz w:val="24"/>
          <w:szCs w:val="24"/>
        </w:rPr>
        <w:t xml:space="preserve">2.3. Quality Assurance classifies the NCR as critical, major or minor according to the risk to the customer, to product safety and to legal compliance; the classification criteria follow the customer specification and company policy.</w:t>
      </w:r>
    </w:p>
    <w:p>
      <w:pPr>
        <w:pStyle w:val="ListeParagraf"/>
        <w:spacing w:after="80"/>
        <w:ind w:left="709" w:right="0"/>
        <w:jc w:val="both"/>
      </w:pPr>
      <w:r>
        <w:rPr>
          <w:rFonts w:ascii="Calibri" w:hAnsi="Calibri" w:cs="Arial"/>
          <w:sz w:val="24"/>
          <w:szCs w:val="24"/>
        </w:rPr>
        <w:t xml:space="preserve">2.4. Each NCR is entered in the NCR register with a unique number and a due date for each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NOTIFICATION AND ESCALATION</w:t>
      </w:r>
    </w:p>
    <w:p>
      <w:pPr>
        <w:pStyle w:val="ListeParagraf"/>
        <w:spacing w:after="80"/>
        <w:ind w:left="709" w:right="0"/>
        <w:jc w:val="both"/>
      </w:pPr>
      <w:r>
        <w:rPr>
          <w:rFonts w:ascii="Calibri" w:hAnsi="Calibri" w:cs="Arial"/>
          <w:sz w:val="24"/>
          <w:szCs w:val="24"/>
        </w:rPr>
        <w:t xml:space="preserve">3.1. Critical NCRs are reported to the Quality Assurance Manager and the General Manager within the same shift; major NCRs within one working day; minor NCRs are reported in the daily quality report.</w:t>
      </w:r>
    </w:p>
    <w:p>
      <w:pPr>
        <w:pStyle w:val="ListeParagraf"/>
        <w:spacing w:after="80"/>
        <w:ind w:left="709" w:right="0"/>
        <w:jc w:val="both"/>
      </w:pPr>
      <w:r>
        <w:rPr>
          <w:rFonts w:ascii="Calibri" w:hAnsi="Calibri" w:cs="Arial"/>
          <w:sz w:val="24"/>
          <w:szCs w:val="24"/>
        </w:rPr>
        <w:t xml:space="preserve">3.2. Supplier or subcontractor cause: Purchasing notifies the supplier in writing, with evidence, within two working days, and requests containment, root cause and corrective action response (8D) within the agreed period using the Supplier CAPA Request Form (EMS.SA.FRM.04.06). The result is reflected in the supplier performance score (EMS.SA.PRO.04.03).</w:t>
      </w:r>
    </w:p>
    <w:p>
      <w:pPr>
        <w:pStyle w:val="ListeParagraf"/>
        <w:spacing w:after="80"/>
        <w:ind w:left="709" w:right="0"/>
        <w:jc w:val="both"/>
      </w:pPr>
      <w:r>
        <w:rPr>
          <w:rFonts w:ascii="Calibri" w:hAnsi="Calibri" w:cs="Arial"/>
          <w:sz w:val="24"/>
          <w:szCs w:val="24"/>
        </w:rPr>
        <w:t xml:space="preserve">3.3. Customer notification: If the nonconformity affects a product already shipped, a product safety issue or a contractual requirement, the Quality Assurance Manager and Merchandising notify the customer without delay and within the period defined by the customer's rules, with the affected lots, containment and plan.</w:t>
      </w:r>
    </w:p>
    <w:p>
      <w:pPr>
        <w:pStyle w:val="ListeParagraf"/>
        <w:spacing w:after="80"/>
        <w:ind w:left="709" w:right="0"/>
        <w:jc w:val="both"/>
      </w:pPr>
      <w:r>
        <w:rPr>
          <w:rFonts w:ascii="Calibri" w:hAnsi="Calibri" w:cs="Arial"/>
          <w:sz w:val="24"/>
          <w:szCs w:val="24"/>
        </w:rPr>
        <w:t xml:space="preserve">3.4. Authority and legal notification: Where a law or regulation requires notification of a safety-related nonconformity, the General Manager and the Quality Assurance Manager notify the competent authority within the legal period.</w:t>
      </w:r>
    </w:p>
    <w:p>
      <w:pPr>
        <w:pStyle w:val="ListeParagraf"/>
        <w:spacing w:after="80"/>
        <w:ind w:left="709" w:right="0"/>
        <w:jc w:val="both"/>
      </w:pPr>
      <w:r>
        <w:rPr>
          <w:rFonts w:ascii="Calibri" w:hAnsi="Calibri" w:cs="Arial"/>
          <w:sz w:val="24"/>
          <w:szCs w:val="24"/>
        </w:rPr>
        <w:t xml:space="preserve">3.5. A shipped product is handled with the traceability and recall procedure (EMS.QA.PRO.02.08).</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DISPOSITION AND CORRECTION</w:t>
      </w:r>
    </w:p>
    <w:p>
      <w:pPr>
        <w:pStyle w:val="ListeParagraf"/>
        <w:spacing w:after="80"/>
        <w:ind w:left="709" w:right="0"/>
        <w:jc w:val="both"/>
      </w:pPr>
      <w:r>
        <w:rPr>
          <w:rFonts w:ascii="Calibri" w:hAnsi="Calibri" w:cs="Arial"/>
          <w:sz w:val="24"/>
          <w:szCs w:val="24"/>
        </w:rPr>
        <w:t xml:space="preserve">4.1. The MRB decides the disposition: use as is (only with the customer concession where the requirement is the customer's), rework, repair, regrade, return to supplier or scrap (EMS.KS.PRO.22.02).</w:t>
      </w:r>
    </w:p>
    <w:p>
      <w:pPr>
        <w:pStyle w:val="ListeParagraf"/>
        <w:spacing w:after="80"/>
        <w:ind w:left="709" w:right="0"/>
        <w:jc w:val="both"/>
      </w:pPr>
      <w:r>
        <w:rPr>
          <w:rFonts w:ascii="Calibri" w:hAnsi="Calibri" w:cs="Arial"/>
          <w:sz w:val="24"/>
          <w:szCs w:val="24"/>
        </w:rPr>
        <w:t xml:space="preserve">4.2. The process owner carries out the decision within the due date and records the quantity of each result on the NCR.</w:t>
      </w:r>
    </w:p>
    <w:p>
      <w:pPr>
        <w:pStyle w:val="ListeParagraf"/>
        <w:spacing w:after="80"/>
        <w:ind w:left="709" w:right="0"/>
        <w:jc w:val="both"/>
      </w:pPr>
      <w:r>
        <w:rPr>
          <w:rFonts w:ascii="Calibri" w:hAnsi="Calibri" w:cs="Arial"/>
          <w:sz w:val="24"/>
          <w:szCs w:val="24"/>
        </w:rPr>
        <w:t xml:space="preserve">4.3. Reworked or repaired product is inspected again by Quality Assurance with at least the original inspection level before release; a stricter level is applied when the customer or Quality Assurance requires it.</w:t>
      </w:r>
    </w:p>
    <w:p>
      <w:pPr>
        <w:pStyle w:val="ListeParagraf"/>
        <w:spacing w:after="80"/>
        <w:ind w:left="709" w:right="0"/>
        <w:jc w:val="both"/>
      </w:pPr>
      <w:r>
        <w:rPr>
          <w:rFonts w:ascii="Calibri" w:hAnsi="Calibri" w:cs="Arial"/>
          <w:sz w:val="24"/>
          <w:szCs w:val="24"/>
        </w:rPr>
        <w:t xml:space="preserve">4.4. Scrapped product is destroyed or rendered unusable under supervision and recorded, in line with the environmental procedures.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ROOT CAUSE AND CORRECTIVE ACTION</w:t>
      </w:r>
    </w:p>
    <w:p>
      <w:pPr>
        <w:pStyle w:val="ListeParagraf"/>
        <w:spacing w:after="80"/>
        <w:ind w:left="709" w:right="0"/>
        <w:jc w:val="both"/>
      </w:pPr>
      <w:r>
        <w:rPr>
          <w:rFonts w:ascii="Calibri" w:hAnsi="Calibri" w:cs="Arial"/>
          <w:sz w:val="24"/>
          <w:szCs w:val="24"/>
        </w:rPr>
        <w:t xml:space="preserve">5.1. Root cause analysis (5 Whys, fishbone or 8D) is started within 24 hours for critical NCRs and within five working days for major NCRs by a team of the process owner and Quality Assurance.</w:t>
      </w:r>
    </w:p>
    <w:p>
      <w:pPr>
        <w:pStyle w:val="ListeParagraf"/>
        <w:spacing w:after="80"/>
        <w:ind w:left="709" w:right="0"/>
        <w:jc w:val="both"/>
      </w:pPr>
      <w:r>
        <w:rPr>
          <w:rFonts w:ascii="Calibri" w:hAnsi="Calibri" w:cs="Arial"/>
          <w:sz w:val="24"/>
          <w:szCs w:val="24"/>
        </w:rPr>
        <w:t xml:space="preserve">5.2. A CAPA is opened (EMS.KS.PRO.22.03) for every critical NCR, every repeated NCR (the same cause twice in 90 days) and any major NCR whose cause is not removed by the correction. Minor NCRs are reviewed in the monthly trend analysis.</w:t>
      </w:r>
    </w:p>
    <w:p>
      <w:pPr>
        <w:pStyle w:val="ListeParagraf"/>
        <w:spacing w:after="80"/>
        <w:ind w:left="709" w:right="0"/>
        <w:jc w:val="both"/>
      </w:pPr>
      <w:r>
        <w:rPr>
          <w:rFonts w:ascii="Calibri" w:hAnsi="Calibri" w:cs="Arial"/>
          <w:sz w:val="24"/>
          <w:szCs w:val="24"/>
        </w:rPr>
        <w:t xml:space="preserve">5.3. The effect of the nonconformity on other products, processes and similar lots is evaluated and the risk register is updated where needed (EMS.YS.PRO.11.04).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CLOSURE AND VERIFICATION</w:t>
      </w:r>
    </w:p>
    <w:p>
      <w:pPr>
        <w:pStyle w:val="ListeParagraf"/>
        <w:spacing w:after="80"/>
        <w:ind w:left="709" w:right="0"/>
        <w:jc w:val="both"/>
      </w:pPr>
      <w:r>
        <w:rPr>
          <w:rFonts w:ascii="Calibri" w:hAnsi="Calibri" w:cs="Arial"/>
          <w:sz w:val="24"/>
          <w:szCs w:val="24"/>
        </w:rPr>
        <w:t xml:space="preserve">6.1. Quality Assurance closes the NCR only when the correction is complete, product is dispositioned, notifications are done and, for CAPA, the effectiveness check is satisfactory.</w:t>
      </w:r>
    </w:p>
    <w:p>
      <w:pPr>
        <w:pStyle w:val="ListeParagraf"/>
        <w:spacing w:after="80"/>
        <w:ind w:left="709" w:right="0"/>
        <w:jc w:val="both"/>
      </w:pPr>
      <w:r>
        <w:rPr>
          <w:rFonts w:ascii="Calibri" w:hAnsi="Calibri" w:cs="Arial"/>
          <w:sz w:val="24"/>
          <w:szCs w:val="24"/>
        </w:rPr>
        <w:t xml:space="preserve">6.2. The effectiveness of the CAPA is verified after the period set at opening (typically 30 to 90 days) and the evidence is attached to the NCR.</w:t>
      </w:r>
    </w:p>
    <w:p>
      <w:pPr>
        <w:pStyle w:val="ListeParagraf"/>
        <w:spacing w:after="80"/>
        <w:ind w:left="709" w:right="0"/>
        <w:jc w:val="both"/>
      </w:pPr>
      <w:r>
        <w:rPr>
          <w:rFonts w:ascii="Calibri" w:hAnsi="Calibri" w:cs="Arial"/>
          <w:sz w:val="24"/>
          <w:szCs w:val="24"/>
        </w:rPr>
        <w:t xml:space="preserve">6.3. NCRs that are not closed by the due date are escalated to the Production Manager and reported to the General Manager in the weekly meeting.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ANALYSIS AND MANAGEMENT REVIEW</w:t>
      </w:r>
    </w:p>
    <w:p>
      <w:pPr>
        <w:pStyle w:val="ListeParagraf"/>
        <w:spacing w:after="80"/>
        <w:ind w:left="709" w:right="0"/>
        <w:jc w:val="both"/>
      </w:pPr>
      <w:r>
        <w:rPr>
          <w:rFonts w:ascii="Calibri" w:hAnsi="Calibri" w:cs="Arial"/>
          <w:sz w:val="24"/>
          <w:szCs w:val="24"/>
        </w:rPr>
        <w:t xml:space="preserve">7.1. Quality Assurance analyses NCRs monthly by type, process, department, supplier and style, and presents the trend (Pareto) to management.</w:t>
      </w:r>
    </w:p>
    <w:p>
      <w:pPr>
        <w:pStyle w:val="ListeParagraf"/>
        <w:spacing w:after="80"/>
        <w:ind w:left="709" w:right="0"/>
        <w:jc w:val="both"/>
      </w:pPr>
      <w:r>
        <w:rPr>
          <w:rFonts w:ascii="Calibri" w:hAnsi="Calibri" w:cs="Arial"/>
          <w:sz w:val="24"/>
          <w:szCs w:val="24"/>
        </w:rPr>
        <w:t xml:space="preserve">7.2. Indicators include: number of NCRs, percentage closed on time (example target: at least 90%), number of repeated NCRs (target: zero), customer notifications and cost of poor quality. Targets follow the customer specification and company policy.</w:t>
      </w:r>
    </w:p>
    <w:p>
      <w:pPr>
        <w:pStyle w:val="ListeParagraf"/>
        <w:spacing w:after="80"/>
        <w:ind w:left="709" w:right="0"/>
        <w:jc w:val="both"/>
      </w:pPr>
      <w:r>
        <w:rPr>
          <w:rFonts w:ascii="Calibri" w:hAnsi="Calibri" w:cs="Arial"/>
          <w:sz w:val="24"/>
          <w:szCs w:val="24"/>
        </w:rPr>
        <w:t xml:space="preserve">7.3. The results are an input to the management review (EMS.YS.PRO.11.05).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RECORDS</w:t>
      </w:r>
    </w:p>
    <w:p>
      <w:pPr>
        <w:pStyle w:val="ListeParagraf"/>
        <w:spacing w:after="80"/>
        <w:ind w:left="709" w:right="0"/>
        <w:jc w:val="both"/>
      </w:pPr>
      <w:r>
        <w:rPr>
          <w:rFonts w:ascii="Calibri" w:hAnsi="Calibri" w:cs="Arial"/>
          <w:sz w:val="24"/>
          <w:szCs w:val="24"/>
        </w:rPr>
        <w:t xml:space="preserve">8.1. The NCR, photos, notifications, supplier responses, re-inspection results and closure evidence are kept for at least three years or for the period required by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EMS.QA.PRO.02.10. Customer Complaint Handling Procedure</w:t>
      </w:r>
    </w:p>
    <w:p>
      <w:pPr>
        <w:pStyle w:val="ListeParagraf"/>
        <w:numPr>
          <w:ilvl w:val="0"/>
          <w:numId w:val="1"/>
        </w:numPr>
        <w:spacing w:after="60"/>
        <w:jc w:val="both"/>
      </w:pPr>
      <w:r>
        <w:rPr>
          <w:rFonts w:ascii="Calibri" w:hAnsi="Calibri" w:cs="Arial"/>
          <w:sz w:val="24"/>
          <w:szCs w:val="24"/>
        </w:rPr>
        <w:t xml:space="preserve">EMS.QA.PRO.02.11. Children's Wear Safety Procedure</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numPr>
          <w:ilvl w:val="0"/>
          <w:numId w:val="1"/>
        </w:numPr>
        <w:spacing w:after="60"/>
        <w:jc w:val="both"/>
      </w:pPr>
      <w:r>
        <w:rPr>
          <w:rFonts w:ascii="Calibri" w:hAnsi="Calibri" w:cs="Arial"/>
          <w:sz w:val="24"/>
          <w:szCs w:val="24"/>
        </w:rPr>
        <w:t xml:space="preserve">EMS.YS.PRO.11.02. Internal Audit, Nonconformity and Corrective Action Procedure</w:t>
      </w:r>
    </w:p>
    <w:p>
      <w:pPr>
        <w:pStyle w:val="ListeParagraf"/>
        <w:numPr>
          <w:ilvl w:val="0"/>
          <w:numId w:val="1"/>
        </w:numPr>
        <w:spacing w:after="60"/>
        <w:jc w:val="both"/>
      </w:pPr>
      <w:r>
        <w:rPr>
          <w:rFonts w:ascii="Calibri" w:hAnsi="Calibri" w:cs="Arial"/>
          <w:sz w:val="24"/>
          <w:szCs w:val="24"/>
        </w:rPr>
        <w:t xml:space="preserve">EMS.YS.PRO.11.04. Risks and Opportunities Procedure</w:t>
      </w:r>
    </w:p>
    <w:p>
      <w:pPr>
        <w:pStyle w:val="ListeParagraf"/>
        <w:numPr>
          <w:ilvl w:val="0"/>
          <w:numId w:val="1"/>
        </w:numPr>
        <w:spacing w:after="60"/>
        <w:jc w:val="both"/>
      </w:pPr>
      <w:r>
        <w:rPr>
          <w:rFonts w:ascii="Calibri" w:hAnsi="Calibri" w:cs="Arial"/>
          <w:sz w:val="24"/>
          <w:szCs w:val="24"/>
        </w:rPr>
        <w:t xml:space="preserve">EMS.YS.PRO.11.05. Management Review Procedure</w:t>
      </w:r>
    </w:p>
    <w:p>
      <w:pPr>
        <w:pStyle w:val="ListeParagraf"/>
        <w:numPr>
          <w:ilvl w:val="0"/>
          <w:numId w:val="1"/>
        </w:numPr>
        <w:spacing w:after="60"/>
        <w:jc w:val="both"/>
      </w:pPr>
      <w:r>
        <w:rPr>
          <w:rFonts w:ascii="Calibri" w:hAnsi="Calibri" w:cs="Arial"/>
          <w:sz w:val="24"/>
          <w:szCs w:val="24"/>
        </w:rPr>
        <w:t xml:space="preserve">EMS.LB.PRO.09.01. Fabric and Product Testing Procedure</w:t>
      </w:r>
    </w:p>
    <w:p>
      <w:pPr>
        <w:pStyle w:val="ListeParagraf"/>
        <w:numPr>
          <w:ilvl w:val="0"/>
          <w:numId w:val="1"/>
        </w:numPr>
        <w:spacing w:after="60"/>
        <w:jc w:val="both"/>
      </w:pPr>
      <w:r>
        <w:rPr>
          <w:rFonts w:ascii="Calibri" w:hAnsi="Calibri" w:cs="Arial"/>
          <w:sz w:val="24"/>
          <w:szCs w:val="24"/>
        </w:rPr>
        <w:t xml:space="preserve">EMS.DP.FRM.08.02. Material Nonconformity Notification Form</w:t>
      </w:r>
    </w:p>
    <w:p>
      <w:pPr>
        <w:pStyle w:val="ListeParagraf"/>
        <w:numPr>
          <w:ilvl w:val="0"/>
          <w:numId w:val="1"/>
        </w:numPr>
        <w:spacing w:after="60"/>
        <w:jc w:val="both"/>
      </w:pPr>
      <w:r>
        <w:rPr>
          <w:rFonts w:ascii="Calibri" w:hAnsi="Calibri" w:cs="Arial"/>
          <w:sz w:val="24"/>
          <w:szCs w:val="24"/>
        </w:rPr>
        <w:t xml:space="preserve">EMS.SA.FRM.04.06. Supplier CAPA Request Form</w:t>
      </w:r>
    </w:p>
    <w:p>
      <w:pPr>
        <w:pStyle w:val="ListeParagraf"/>
        <w:numPr>
          <w:ilvl w:val="0"/>
          <w:numId w:val="1"/>
        </w:numPr>
        <w:spacing w:after="60"/>
        <w:jc w:val="both"/>
      </w:pPr>
      <w:r>
        <w:rPr>
          <w:rFonts w:ascii="Calibri" w:hAnsi="Calibri" w:cs="Arial"/>
          <w:sz w:val="24"/>
          <w:szCs w:val="24"/>
        </w:rPr>
        <w:t xml:space="preserve">EMS.QA.FRM.03.06. Metal Detector Quarantine Box Record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FOLLOW-UP</w:t>
      </w:r>
    </w:p>
    <w:p>
      <w:pPr>
        <w:pStyle w:val="ListeParagraf"/>
        <w:spacing w:after="80"/>
        <w:ind w:left="709" w:right="0"/>
        <w:jc w:val="both"/>
      </w:pPr>
      <w:r>
        <w:rPr>
          <w:rFonts w:ascii="Calibri" w:hAnsi="Calibri" w:cs="Arial"/>
          <w:sz w:val="24"/>
          <w:szCs w:val="24"/>
        </w:rPr>
        <w:t xml:space="preserve">This procedure is reviewed every year by the Quality Assurance Manager together with Production, Purchasing and Merchandising, and after any critical NCR or change in customer requirements. NCR results, trends and lessons learned are shared with the departments and used to improve processes.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الإبلاغ عن عدم المطابقة وتسجيلها وتصعيدها وإخطار الأطراف المعنية بها وإغلاقها بتقرير عدم المطابقة (NCR) في شركة إيروغلو للتريكو (EMS). ويضمن الإبلاغ عن كل انحراف عن المتطلبات في اليوم نفسه وإمكانية تتبعه وإخضاعه لتحليل السبب الجذري وإجراء تصحيحي، وإخطار العملاء والموردين والجهات الرسمية عند الاقتضاء (ISO 9001:2015، البندان 8.7 و10.2). أما الضبط المادي للمنتج غير المطابق والتصرف فيه فيرد في EMS.KS.PRO.22.02، وأسلوب الإجراء التصحيحي والوقائي في EMS.KS.PRO.22.03؛ ولا يكررهما هذا الإجراء بل يربطهما عبر تقرير NCR.</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عدم المطابقة المكتشفة في الغزل والأقمشة والمستلزمات والإكسسوارات والكيماويات والتغليف والقطع المقصوصة والمنتجات نصف المصنعة والملابس والبضائع المعبأة في أي مرحلة، من الفحص الوارد حتى الشحن، بما في ذلك إخفاق الاختبارات المخبرية وعيوب السلامة واكتشاف المعادن والبضائع المرتجعة من العملاء والبضائع الواردة من الموردين والمقاولين من الباطن. أما عدم مطابقة نظام الإدارة المكتشفة في التدقيق الداخلي فتتبع EMS.YS.PRO.11.02، وشكاوى العملاء تتبع EMS.QA.PRO.02.10؛ وكلاهما يرتبط بتقرير NCR متى تعلقت الحالة بمنتج.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العاملين والمفتشين:</w:t>
      </w:r>
      <w:r>
        <w:rPr>
          <w:rFonts w:ascii="Calibri" w:hAnsi="Calibri" w:cs="Arial"/>
          <w:rtl/>
          <w:sz w:val="24"/>
          <w:szCs w:val="24"/>
        </w:rPr>
        <w:t xml:space="preserve"> يوقفون العمل عند اكتشاف عدم مطابقة، ويضعون بطاقة على المنتج، ويبلغون المشرف فورًا.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القسم ومديره:</w:t>
      </w:r>
      <w:r>
        <w:rPr>
          <w:rFonts w:ascii="Calibri" w:hAnsi="Calibri" w:cs="Arial"/>
          <w:rtl/>
          <w:sz w:val="24"/>
          <w:szCs w:val="24"/>
        </w:rPr>
        <w:t xml:space="preserve"> يفتحان تقرير NCR مع مفتش ضمان الجودة، ويضمنان الاحتواء، وينفذان التصحيح المتفق عليه.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هذا الإجراء، ويصنف تقرير NCR، ويحتفظ بسجل التقارير، ويقرر إخطار العميل والجهات الرسمية، ويتحقق من الإغلاق.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لجنة مراجعة المواد (MRB):</w:t>
      </w:r>
      <w:r>
        <w:rPr>
          <w:rFonts w:ascii="Calibri" w:hAnsi="Calibri" w:cs="Arial"/>
          <w:rtl/>
          <w:sz w:val="24"/>
          <w:szCs w:val="24"/>
        </w:rPr>
        <w:t xml:space="preserve"> تقرر كيفية التصرف في المنتج غير المطابق (EMS.KS.PRO.22.02).</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يخطر المورد أو المقاول من الباطن، ويطلب رده (8D)، ويتابع المطالبة (EMS.SA.PRO.04.03).</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التسويق وممثل العميل:</w:t>
      </w:r>
      <w:r>
        <w:rPr>
          <w:rFonts w:ascii="Calibri" w:hAnsi="Calibri" w:cs="Arial"/>
          <w:rtl/>
          <w:sz w:val="24"/>
          <w:szCs w:val="24"/>
        </w:rPr>
        <w:t xml:space="preserve"> يخطران العميل ويحصلان على الاستثناء أو الموافقة عند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يُبلَّغ فورًا بتقارير NCR الحرجة ويعتمد القرارات الاستثنائية.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المطابقة:</w:t>
      </w:r>
      <w:r>
        <w:rPr>
          <w:rFonts w:ascii="Calibri" w:hAnsi="Calibri" w:cs="Arial"/>
          <w:rtl/>
          <w:sz w:val="24"/>
          <w:szCs w:val="24"/>
        </w:rPr>
        <w:t xml:space="preserve"> عدم استيفاء متطلب للعميل أو للقانون أو لسلامة المنتج أو للمواصفة أو لمعيار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تقرير NCR (تقرير عدم المطابقة):</w:t>
      </w:r>
      <w:r>
        <w:rPr>
          <w:rFonts w:ascii="Calibri" w:hAnsi="Calibri" w:cs="Arial"/>
          <w:rtl/>
          <w:sz w:val="24"/>
          <w:szCs w:val="24"/>
        </w:rPr>
        <w:t xml:space="preserve"> السجل الذي يصف عدم المطابقة واحتواءها وسببها الجذري وتصحيحها والإجراء التصحيحي ودليل الإغلاق.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الاحتواء:</w:t>
      </w:r>
      <w:r>
        <w:rPr>
          <w:rFonts w:ascii="Calibri" w:hAnsi="Calibri" w:cs="Arial"/>
          <w:rtl/>
          <w:sz w:val="24"/>
          <w:szCs w:val="24"/>
        </w:rPr>
        <w:t xml:space="preserve"> الإجراء الفوري الذي يمنع استخدام المنتج غير المطابق أو معالجته أو شحنه.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التصحيح:</w:t>
      </w:r>
      <w:r>
        <w:rPr>
          <w:rFonts w:ascii="Calibri" w:hAnsi="Calibri" w:cs="Arial"/>
          <w:rtl/>
          <w:sz w:val="24"/>
          <w:szCs w:val="24"/>
        </w:rPr>
        <w:t xml:space="preserve"> الإجراء المتخذ لإزالة عدم المطابقة المكتشفة، مثل إعادة التشغيل أو الإصلاح أو خفض الدرجة أو الإتلاف.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 (CAPA):</w:t>
      </w:r>
      <w:r>
        <w:rPr>
          <w:rFonts w:ascii="Calibri" w:hAnsi="Calibri" w:cs="Arial"/>
          <w:rtl/>
          <w:sz w:val="24"/>
          <w:szCs w:val="24"/>
        </w:rPr>
        <w:t xml:space="preserve"> الإجراء الذي يزيل السبب الجذري لمنع التكرار.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تقرير NCR حرج:</w:t>
      </w:r>
      <w:r>
        <w:rPr>
          <w:rFonts w:ascii="Calibri" w:hAnsi="Calibri" w:cs="Arial"/>
          <w:rtl/>
          <w:sz w:val="24"/>
          <w:szCs w:val="24"/>
        </w:rPr>
        <w:t xml:space="preserve"> عدم مطابقة تؤثر في سلامة المنتج (مثل المعادن والمواد المقيدة) أو الامتثال القانوني أو منتج تم شحنه.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الاستثناء:</w:t>
      </w:r>
      <w:r>
        <w:rPr>
          <w:rFonts w:ascii="Calibri" w:hAnsi="Calibri" w:cs="Arial"/>
          <w:rtl/>
          <w:sz w:val="24"/>
          <w:szCs w:val="24"/>
        </w:rPr>
        <w:t xml:space="preserve"> إذن خطي من العميل باستخدام منتج لا يستوفي المتطلب المحدد أو تسليمه.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الاكتشاف والإجراء الفوري</w:t>
      </w:r>
    </w:p>
    <w:p>
      <w:pPr>
        <w:pStyle w:val="ListeParagraf"/>
        <w:bidi/>
        <w:spacing w:after="80"/>
        <w:ind w:left="0" w:right="709"/>
        <w:jc w:val="both"/>
      </w:pPr>
      <w:r>
        <w:rPr>
          <w:rFonts w:ascii="Calibri" w:hAnsi="Calibri" w:cs="Arial"/>
          <w:rtl/>
          <w:sz w:val="24"/>
          <w:szCs w:val="24"/>
        </w:rPr>
        <w:t xml:space="preserve">1.1. يوقف كل من يكتشف عدم مطابقة العملية، ويضع على المنتج بطاقة "غير مطابق" الحمراء، ويبلغ المشرف ومفتش ضمان الجودة فورًا.</w:t>
      </w:r>
    </w:p>
    <w:p>
      <w:pPr>
        <w:pStyle w:val="ListeParagraf"/>
        <w:bidi/>
        <w:spacing w:after="80"/>
        <w:ind w:left="0" w:right="709"/>
        <w:jc w:val="both"/>
      </w:pPr>
      <w:r>
        <w:rPr>
          <w:rFonts w:ascii="Calibri" w:hAnsi="Calibri" w:cs="Arial"/>
          <w:rtl/>
          <w:sz w:val="24"/>
          <w:szCs w:val="24"/>
        </w:rPr>
        <w:t xml:space="preserve">1.2. يُنقل المنتج إلى منطقة الحجر المعلّمة أو يُحجز في النظام بحيث لا يمكن استخدامه أو شحنه (EMS.KS.PRO.22.02).</w:t>
      </w:r>
    </w:p>
    <w:p>
      <w:pPr>
        <w:pStyle w:val="ListeParagraf"/>
        <w:bidi/>
        <w:spacing w:after="80"/>
        <w:ind w:left="0" w:right="709"/>
        <w:jc w:val="both"/>
      </w:pPr>
      <w:r>
        <w:rPr>
          <w:rFonts w:ascii="Calibri" w:hAnsi="Calibri" w:cs="Arial"/>
          <w:rtl/>
          <w:sz w:val="24"/>
          <w:szCs w:val="24"/>
        </w:rPr>
        <w:t xml:space="preserve">1.3. إذا كان المنتج قد وصل إلى العملية التالية أو المخزن أو العميل، تُحدد الكمية والدفعات المعنية باستخدام نظام التتبع (EMS.QA.PRO.02.08).</w:t>
      </w:r>
    </w:p>
    <w:p>
      <w:pPr>
        <w:pStyle w:val="ListeParagraf"/>
        <w:bidi/>
        <w:spacing w:after="80"/>
        <w:ind w:left="0" w:right="709"/>
        <w:jc w:val="both"/>
      </w:pPr>
      <w:r>
        <w:rPr>
          <w:rFonts w:ascii="Calibri" w:hAnsi="Calibri" w:cs="Arial"/>
          <w:rtl/>
          <w:sz w:val="24"/>
          <w:szCs w:val="24"/>
        </w:rPr>
        <w:t xml:space="preserve">1.4. تُعد نتيجة مخبرية فاشلة أو إنذار معدني في دفعة مفرج عنها أو عيب في السلامة تقرير NCR فورًا، ويُوقف إنتاج الدفعة إلى أن يقرر 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فتح تقرير NCR</w:t>
      </w:r>
    </w:p>
    <w:p>
      <w:pPr>
        <w:pStyle w:val="ListeParagraf"/>
        <w:bidi/>
        <w:spacing w:after="80"/>
        <w:ind w:left="0" w:right="709"/>
        <w:jc w:val="both"/>
      </w:pPr>
      <w:r>
        <w:rPr>
          <w:rFonts w:ascii="Calibri" w:hAnsi="Calibri" w:cs="Arial"/>
          <w:rtl/>
          <w:sz w:val="24"/>
          <w:szCs w:val="24"/>
        </w:rPr>
        <w:t xml:space="preserve">2.1. يفتح مفتش ضمان الجودة التقرير في يوم العمل نفسه. وفي البضائع الواردة يُستخدم نموذج الإبلاغ عن المواد غير المطابقة (EMS.DP.FRM.08.02) ويُربط بالتقرير.</w:t>
      </w:r>
    </w:p>
    <w:p>
      <w:pPr>
        <w:pStyle w:val="ListeParagraf"/>
        <w:bidi/>
        <w:spacing w:after="80"/>
        <w:ind w:left="0" w:right="709"/>
        <w:jc w:val="both"/>
      </w:pPr>
      <w:r>
        <w:rPr>
          <w:rFonts w:ascii="Calibri" w:hAnsi="Calibri" w:cs="Arial"/>
          <w:rtl/>
          <w:sz w:val="24"/>
          <w:szCs w:val="24"/>
        </w:rPr>
        <w:t xml:space="preserve">2.2. يسجل التقرير: رقم التقرير والتاريخ والموقع والعملية والطلبية والموديل والدفعة والكمية، ووصف عدم المطابقة مع صورة أو عينة، والمتطلب غير المستوفى، ومن اكتشفها وكيف، والاحتواء الفوري.</w:t>
      </w:r>
    </w:p>
    <w:p>
      <w:pPr>
        <w:pStyle w:val="ListeParagraf"/>
        <w:bidi/>
        <w:spacing w:after="80"/>
        <w:ind w:left="0" w:right="709"/>
        <w:jc w:val="both"/>
      </w:pPr>
      <w:r>
        <w:rPr>
          <w:rFonts w:ascii="Calibri" w:hAnsi="Calibri" w:cs="Arial"/>
          <w:rtl/>
          <w:sz w:val="24"/>
          <w:szCs w:val="24"/>
        </w:rPr>
        <w:t xml:space="preserve">2.3. يصنف ضمان الجودة التقرير كحرج أو رئيسي أو ثانوي بحسب الخطر على العميل وعلى سلامة المنتج وعلى الامتثال القانوني؛ وتتبع معايير التصنيف مواصفات العميل وسياسة الشركة.</w:t>
      </w:r>
    </w:p>
    <w:p>
      <w:pPr>
        <w:pStyle w:val="ListeParagraf"/>
        <w:bidi/>
        <w:spacing w:after="80"/>
        <w:ind w:left="0" w:right="709"/>
        <w:jc w:val="both"/>
      </w:pPr>
      <w:r>
        <w:rPr>
          <w:rFonts w:ascii="Calibri" w:hAnsi="Calibri" w:cs="Arial"/>
          <w:rtl/>
          <w:sz w:val="24"/>
          <w:szCs w:val="24"/>
        </w:rPr>
        <w:t xml:space="preserve">2.4. يُدرج كل تقرير في سجل التقارير برقم فريد وموعد استحقاق لكل إجراء.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الإخطار والتصعيد</w:t>
      </w:r>
    </w:p>
    <w:p>
      <w:pPr>
        <w:pStyle w:val="ListeParagraf"/>
        <w:bidi/>
        <w:spacing w:after="80"/>
        <w:ind w:left="0" w:right="709"/>
        <w:jc w:val="both"/>
      </w:pPr>
      <w:r>
        <w:rPr>
          <w:rFonts w:ascii="Calibri" w:hAnsi="Calibri" w:cs="Arial"/>
          <w:rtl/>
          <w:sz w:val="24"/>
          <w:szCs w:val="24"/>
        </w:rPr>
        <w:t xml:space="preserve">3.1. تُبلَّغ التقارير الحرجة إلى مدير ضمان الجودة والمدير العام خلال الوردية نفسها؛ والتقارير الرئيسية خلال يوم عمل واحد؛ والثانوية ضمن تقرير الجودة اليومي.</w:t>
      </w:r>
    </w:p>
    <w:p>
      <w:pPr>
        <w:pStyle w:val="ListeParagraf"/>
        <w:bidi/>
        <w:spacing w:after="80"/>
        <w:ind w:left="0" w:right="709"/>
        <w:jc w:val="both"/>
      </w:pPr>
      <w:r>
        <w:rPr>
          <w:rFonts w:ascii="Calibri" w:hAnsi="Calibri" w:cs="Arial"/>
          <w:rtl/>
          <w:sz w:val="24"/>
          <w:szCs w:val="24"/>
        </w:rPr>
        <w:t xml:space="preserve">3.2. إذا كان السبب لدى مورد أو مقاول من الباطن: تخطره المشتريات كتابةً مع الأدلة خلال يومي عمل، وتطلب منه الاحتواء والسبب الجذري والإجراء التصحيحي (8D) خلال المدة المتفق عليها باستخدام نموذج طلب CAPA من المورد (EMS.SA.FRM.04.06). وتنعكس النتيجة في درجة أداء المورد (EMS.SA.PRO.04.03).</w:t>
      </w:r>
    </w:p>
    <w:p>
      <w:pPr>
        <w:pStyle w:val="ListeParagraf"/>
        <w:bidi/>
        <w:spacing w:after="80"/>
        <w:ind w:left="0" w:right="709"/>
        <w:jc w:val="both"/>
      </w:pPr>
      <w:r>
        <w:rPr>
          <w:rFonts w:ascii="Calibri" w:hAnsi="Calibri" w:cs="Arial"/>
          <w:rtl/>
          <w:sz w:val="24"/>
          <w:szCs w:val="24"/>
        </w:rPr>
        <w:t xml:space="preserve">3.3. إخطار العميل: إذا أثرت عدم المطابقة في منتج تم شحنه أو في مسألة سلامة المنتج أو في متطلب تعاقدي، يخطر مدير ضمان الجودة والتسويق العميل دون تأخير وضمن المدة التي تحددها قواعد العميل، مع بيان الدفعات المتأثرة والاحتواء والخطة.</w:t>
      </w:r>
    </w:p>
    <w:p>
      <w:pPr>
        <w:pStyle w:val="ListeParagraf"/>
        <w:bidi/>
        <w:spacing w:after="80"/>
        <w:ind w:left="0" w:right="709"/>
        <w:jc w:val="both"/>
      </w:pPr>
      <w:r>
        <w:rPr>
          <w:rFonts w:ascii="Calibri" w:hAnsi="Calibri" w:cs="Arial"/>
          <w:rtl/>
          <w:sz w:val="24"/>
          <w:szCs w:val="24"/>
        </w:rPr>
        <w:t xml:space="preserve">3.4. إخطار الجهات الرسمية والقانونية: حيثما يوجب قانون أو لائحة الإبلاغ عن عدم مطابقة متعلقة بالسلامة، يخطر المدير العام ومدير ضمان الجودة الجهة المختصة خلال المدة القانونية.</w:t>
      </w:r>
    </w:p>
    <w:p>
      <w:pPr>
        <w:pStyle w:val="ListeParagraf"/>
        <w:bidi/>
        <w:spacing w:after="80"/>
        <w:ind w:left="0" w:right="709"/>
        <w:jc w:val="both"/>
      </w:pPr>
      <w:r>
        <w:rPr>
          <w:rFonts w:ascii="Calibri" w:hAnsi="Calibri" w:cs="Arial"/>
          <w:rtl/>
          <w:sz w:val="24"/>
          <w:szCs w:val="24"/>
        </w:rPr>
        <w:t xml:space="preserve">3.5. يُعالج المنتج المشحون وفق إجراء التتبع وسحب المنتج (EMS.QA.PRO.02.08).</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التصرف والتصحيح</w:t>
      </w:r>
    </w:p>
    <w:p>
      <w:pPr>
        <w:pStyle w:val="ListeParagraf"/>
        <w:bidi/>
        <w:spacing w:after="80"/>
        <w:ind w:left="0" w:right="709"/>
        <w:jc w:val="both"/>
      </w:pPr>
      <w:r>
        <w:rPr>
          <w:rFonts w:ascii="Calibri" w:hAnsi="Calibri" w:cs="Arial"/>
          <w:rtl/>
          <w:sz w:val="24"/>
          <w:szCs w:val="24"/>
        </w:rPr>
        <w:t xml:space="preserve">4.1. تقرر لجنة MRB كيفية التصرف: الاستخدام كما هو (بعد استثناء العميل فقط إذا كان المتطلب للعميل)، أو إعادة التشغيل، أو الإصلاح، أو خفض الدرجة، أو الإرجاع إلى المورد، أو الإتلاف (EMS.KS.PRO.22.02).</w:t>
      </w:r>
    </w:p>
    <w:p>
      <w:pPr>
        <w:pStyle w:val="ListeParagraf"/>
        <w:bidi/>
        <w:spacing w:after="80"/>
        <w:ind w:left="0" w:right="709"/>
        <w:jc w:val="both"/>
      </w:pPr>
      <w:r>
        <w:rPr>
          <w:rFonts w:ascii="Calibri" w:hAnsi="Calibri" w:cs="Arial"/>
          <w:rtl/>
          <w:sz w:val="24"/>
          <w:szCs w:val="24"/>
        </w:rPr>
        <w:t xml:space="preserve">4.2. ينفذ مالك العملية القرار في موعد الاستحقاق ويسجل كمية كل نتيجة في التقرير.</w:t>
      </w:r>
    </w:p>
    <w:p>
      <w:pPr>
        <w:pStyle w:val="ListeParagraf"/>
        <w:bidi/>
        <w:spacing w:after="80"/>
        <w:ind w:left="0" w:right="709"/>
        <w:jc w:val="both"/>
      </w:pPr>
      <w:r>
        <w:rPr>
          <w:rFonts w:ascii="Calibri" w:hAnsi="Calibri" w:cs="Arial"/>
          <w:rtl/>
          <w:sz w:val="24"/>
          <w:szCs w:val="24"/>
        </w:rPr>
        <w:t xml:space="preserve">4.3. يُفحص المنتج المعاد تشغيله أو المصلح من جديد بواسطة ضمان الجودة بمستوى الفحص الأصلي على الأقل قبل الإفراج عنه؛ ويطبق مستوى أشد عندما يطلب العميل أو ضمان الجودة ذلك.</w:t>
      </w:r>
    </w:p>
    <w:p>
      <w:pPr>
        <w:pStyle w:val="ListeParagraf"/>
        <w:bidi/>
        <w:spacing w:after="80"/>
        <w:ind w:left="0" w:right="709"/>
        <w:jc w:val="both"/>
      </w:pPr>
      <w:r>
        <w:rPr>
          <w:rFonts w:ascii="Calibri" w:hAnsi="Calibri" w:cs="Arial"/>
          <w:rtl/>
          <w:sz w:val="24"/>
          <w:szCs w:val="24"/>
        </w:rPr>
        <w:t xml:space="preserve">4.4. يُتلف المنتج المعدوم أو يُجعل غير صالح للاستخدام تحت الإشراف ويُسجل، بما يتوافق مع الإجراءات البيئية.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السبب الجذري والإجراء التصحيحي</w:t>
      </w:r>
    </w:p>
    <w:p>
      <w:pPr>
        <w:pStyle w:val="ListeParagraf"/>
        <w:bidi/>
        <w:spacing w:after="80"/>
        <w:ind w:left="0" w:right="709"/>
        <w:jc w:val="both"/>
      </w:pPr>
      <w:r>
        <w:rPr>
          <w:rFonts w:ascii="Calibri" w:hAnsi="Calibri" w:cs="Arial"/>
          <w:rtl/>
          <w:sz w:val="24"/>
          <w:szCs w:val="24"/>
        </w:rPr>
        <w:t xml:space="preserve">5.1. يبدأ فريق من مالك العملية وضمان الجودة تحليل السبب الجذري (5 لماذا أو عظم السمكة أو 8D) خلال 24 ساعة للتقارير الحرجة وخلال خمسة أيام عمل للتقارير الرئيسية.</w:t>
      </w:r>
    </w:p>
    <w:p>
      <w:pPr>
        <w:pStyle w:val="ListeParagraf"/>
        <w:bidi/>
        <w:spacing w:after="80"/>
        <w:ind w:left="0" w:right="709"/>
        <w:jc w:val="both"/>
      </w:pPr>
      <w:r>
        <w:rPr>
          <w:rFonts w:ascii="Calibri" w:hAnsi="Calibri" w:cs="Arial"/>
          <w:rtl/>
          <w:sz w:val="24"/>
          <w:szCs w:val="24"/>
        </w:rPr>
        <w:t xml:space="preserve">5.2. يُفتح إجراء CAPA (EMS.KS.PRO.22.03) لكل تقرير حرج ولكل تقرير متكرر (السبب نفسه مرتين خلال 90 يومًا) ولكل تقرير رئيسي لم يُزل سببه بالتصحيح. وتُراجع التقارير الثانوية في تحليل الاتجاهات الشهري.</w:t>
      </w:r>
    </w:p>
    <w:p>
      <w:pPr>
        <w:pStyle w:val="ListeParagraf"/>
        <w:bidi/>
        <w:spacing w:after="80"/>
        <w:ind w:left="0" w:right="709"/>
        <w:jc w:val="both"/>
      </w:pPr>
      <w:r>
        <w:rPr>
          <w:rFonts w:ascii="Calibri" w:hAnsi="Calibri" w:cs="Arial"/>
          <w:rtl/>
          <w:sz w:val="24"/>
          <w:szCs w:val="24"/>
        </w:rPr>
        <w:t xml:space="preserve">5.3. يُقيَّم أثر عدم المطابقة في المنتجات والعمليات والدفعات المشابهة الأخرى، ويُحدَّث سجل المخاطر عند الحاجة (EMS.YS.PRO.11.04).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الإغلاق والتحقق</w:t>
      </w:r>
    </w:p>
    <w:p>
      <w:pPr>
        <w:pStyle w:val="ListeParagraf"/>
        <w:bidi/>
        <w:spacing w:after="80"/>
        <w:ind w:left="0" w:right="709"/>
        <w:jc w:val="both"/>
      </w:pPr>
      <w:r>
        <w:rPr>
          <w:rFonts w:ascii="Calibri" w:hAnsi="Calibri" w:cs="Arial"/>
          <w:rtl/>
          <w:sz w:val="24"/>
          <w:szCs w:val="24"/>
        </w:rPr>
        <w:t xml:space="preserve">6.1. لا يغلق ضمان الجودة التقرير إلا بعد اكتمال التصحيح والتصرف في المنتج وإتمام الإخطارات، وبعد نتيجة مرضية للتحقق من فعالية CAPA.</w:t>
      </w:r>
    </w:p>
    <w:p>
      <w:pPr>
        <w:pStyle w:val="ListeParagraf"/>
        <w:bidi/>
        <w:spacing w:after="80"/>
        <w:ind w:left="0" w:right="709"/>
        <w:jc w:val="both"/>
      </w:pPr>
      <w:r>
        <w:rPr>
          <w:rFonts w:ascii="Calibri" w:hAnsi="Calibri" w:cs="Arial"/>
          <w:rtl/>
          <w:sz w:val="24"/>
          <w:szCs w:val="24"/>
        </w:rPr>
        <w:t xml:space="preserve">6.2. يُتحقق من فعالية CAPA بعد المدة المحددة عند الفتح (عادة من 30 إلى 90 يومًا) ويُرفق الدليل بالتقرير.</w:t>
      </w:r>
    </w:p>
    <w:p>
      <w:pPr>
        <w:pStyle w:val="ListeParagraf"/>
        <w:bidi/>
        <w:spacing w:after="80"/>
        <w:ind w:left="0" w:right="709"/>
        <w:jc w:val="both"/>
      </w:pPr>
      <w:r>
        <w:rPr>
          <w:rFonts w:ascii="Calibri" w:hAnsi="Calibri" w:cs="Arial"/>
          <w:rtl/>
          <w:sz w:val="24"/>
          <w:szCs w:val="24"/>
        </w:rPr>
        <w:t xml:space="preserve">6.3. تُصعَّد التقارير غير المغلقة في موعدها إلى مدير الإنتاج وتُرفع إلى المدير العام في الاجتماع الأسبوعي.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التحليل ومراجعة الإدارة</w:t>
      </w:r>
    </w:p>
    <w:p>
      <w:pPr>
        <w:pStyle w:val="ListeParagraf"/>
        <w:bidi/>
        <w:spacing w:after="80"/>
        <w:ind w:left="0" w:right="709"/>
        <w:jc w:val="both"/>
      </w:pPr>
      <w:r>
        <w:rPr>
          <w:rFonts w:ascii="Calibri" w:hAnsi="Calibri" w:cs="Arial"/>
          <w:rtl/>
          <w:sz w:val="24"/>
          <w:szCs w:val="24"/>
        </w:rPr>
        <w:t xml:space="preserve">7.1. يحلل ضمان الجودة التقارير شهريًا بحسب النوع والعملية والقسم والمورد والموديل، ويعرض الاتجاه (باريتو) على الإدارة.</w:t>
      </w:r>
    </w:p>
    <w:p>
      <w:pPr>
        <w:pStyle w:val="ListeParagraf"/>
        <w:bidi/>
        <w:spacing w:after="80"/>
        <w:ind w:left="0" w:right="709"/>
        <w:jc w:val="both"/>
      </w:pPr>
      <w:r>
        <w:rPr>
          <w:rFonts w:ascii="Calibri" w:hAnsi="Calibri" w:cs="Arial"/>
          <w:rtl/>
          <w:sz w:val="24"/>
          <w:szCs w:val="24"/>
        </w:rPr>
        <w:t xml:space="preserve">7.2. تشمل المؤشرات: عدد التقارير، ونسبة المغلق في موعده (هدف إرشادي: 90% على الأقل)، وعدد التقارير المتكررة (الهدف: صفر)، وإخطارات العملاء، وتكلفة الجودة الرديئة. وتتبع الأهداف مواصفات العميل وسياسة الشركة.</w:t>
      </w:r>
    </w:p>
    <w:p>
      <w:pPr>
        <w:pStyle w:val="ListeParagraf"/>
        <w:bidi/>
        <w:spacing w:after="80"/>
        <w:ind w:left="0" w:right="709"/>
        <w:jc w:val="both"/>
      </w:pPr>
      <w:r>
        <w:rPr>
          <w:rFonts w:ascii="Calibri" w:hAnsi="Calibri" w:cs="Arial"/>
          <w:rtl/>
          <w:sz w:val="24"/>
          <w:szCs w:val="24"/>
        </w:rPr>
        <w:t xml:space="preserve">7.3. تُعد النتائج مدخلًا لمراجعة الإدارة (EMS.YS.PRO.11.05).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السجلات</w:t>
      </w:r>
    </w:p>
    <w:p>
      <w:pPr>
        <w:pStyle w:val="ListeParagraf"/>
        <w:bidi/>
        <w:spacing w:after="80"/>
        <w:ind w:left="0" w:right="709"/>
        <w:jc w:val="both"/>
      </w:pPr>
      <w:r>
        <w:rPr>
          <w:rFonts w:ascii="Calibri" w:hAnsi="Calibri" w:cs="Arial"/>
          <w:rtl/>
          <w:sz w:val="24"/>
          <w:szCs w:val="24"/>
        </w:rPr>
        <w:t xml:space="preserve">8.1. تُحفظ تقارير NCR والصور والإخطارات وردود الموردين ونتائج إعادة الفحص وأدلة الإغلاق ثلاث سنوات على الأقل أو المدة التي يشترطها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EMS.KS.PRO.22.02. إجراء ضبط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EMS.QA.PRO.02.08. إجراء التتبع وسحب المنتج</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الإنتاج، النهائي AQL)</w:t>
      </w:r>
    </w:p>
    <w:p>
      <w:pPr>
        <w:pStyle w:val="ListeParagraf"/>
        <w:numPr>
          <w:ilvl w:val="0"/>
          <w:numId w:val="1"/>
        </w:numPr>
        <w:bidi/>
        <w:spacing w:after="60"/>
        <w:jc w:val="both"/>
      </w:pPr>
      <w:r>
        <w:rPr>
          <w:rFonts w:ascii="Calibri" w:hAnsi="Calibri" w:cs="Arial"/>
          <w:rtl/>
          <w:sz w:val="24"/>
          <w:szCs w:val="24"/>
        </w:rPr>
        <w:t xml:space="preserve">EMS.QA.PRO.02.10. إجراء معالجة شكاوى العملاء</w:t>
      </w:r>
    </w:p>
    <w:p>
      <w:pPr>
        <w:pStyle w:val="ListeParagraf"/>
        <w:numPr>
          <w:ilvl w:val="0"/>
          <w:numId w:val="1"/>
        </w:numPr>
        <w:bidi/>
        <w:spacing w:after="60"/>
        <w:jc w:val="both"/>
      </w:pPr>
      <w:r>
        <w:rPr>
          <w:rFonts w:ascii="Calibri" w:hAnsi="Calibri" w:cs="Arial"/>
          <w:rtl/>
          <w:sz w:val="24"/>
          <w:szCs w:val="24"/>
        </w:rPr>
        <w:t xml:space="preserve">EMS.QA.PRO.02.11. إجراء سلامة ملابس الأطفال</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numPr>
          <w:ilvl w:val="0"/>
          <w:numId w:val="1"/>
        </w:numPr>
        <w:bidi/>
        <w:spacing w:after="60"/>
        <w:jc w:val="both"/>
      </w:pPr>
      <w:r>
        <w:rPr>
          <w:rFonts w:ascii="Calibri" w:hAnsi="Calibri" w:cs="Arial"/>
          <w:rtl/>
          <w:sz w:val="24"/>
          <w:szCs w:val="24"/>
        </w:rPr>
        <w:t xml:space="preserve">EMS.YS.PRO.11.02. إجراء التدقيق الداخلي وعدم المطابقة والإجراء التصحيحي</w:t>
      </w:r>
    </w:p>
    <w:p>
      <w:pPr>
        <w:pStyle w:val="ListeParagraf"/>
        <w:numPr>
          <w:ilvl w:val="0"/>
          <w:numId w:val="1"/>
        </w:numPr>
        <w:bidi/>
        <w:spacing w:after="60"/>
        <w:jc w:val="both"/>
      </w:pPr>
      <w:r>
        <w:rPr>
          <w:rFonts w:ascii="Calibri" w:hAnsi="Calibri" w:cs="Arial"/>
          <w:rtl/>
          <w:sz w:val="24"/>
          <w:szCs w:val="24"/>
        </w:rPr>
        <w:t xml:space="preserve">EMS.YS.PRO.11.04. إجراء المخاطر والفرص</w:t>
      </w:r>
    </w:p>
    <w:p>
      <w:pPr>
        <w:pStyle w:val="ListeParagraf"/>
        <w:numPr>
          <w:ilvl w:val="0"/>
          <w:numId w:val="1"/>
        </w:numPr>
        <w:bidi/>
        <w:spacing w:after="60"/>
        <w:jc w:val="both"/>
      </w:pPr>
      <w:r>
        <w:rPr>
          <w:rFonts w:ascii="Calibri" w:hAnsi="Calibri" w:cs="Arial"/>
          <w:rtl/>
          <w:sz w:val="24"/>
          <w:szCs w:val="24"/>
        </w:rPr>
        <w:t xml:space="preserve">EMS.YS.PRO.11.05. إجراء مراجعة الإدارة</w:t>
      </w:r>
    </w:p>
    <w:p>
      <w:pPr>
        <w:pStyle w:val="ListeParagraf"/>
        <w:numPr>
          <w:ilvl w:val="0"/>
          <w:numId w:val="1"/>
        </w:numPr>
        <w:bidi/>
        <w:spacing w:after="60"/>
        <w:jc w:val="both"/>
      </w:pPr>
      <w:r>
        <w:rPr>
          <w:rFonts w:ascii="Calibri" w:hAnsi="Calibri" w:cs="Arial"/>
          <w:rtl/>
          <w:sz w:val="24"/>
          <w:szCs w:val="24"/>
        </w:rPr>
        <w:t xml:space="preserve">EMS.LB.PRO.09.01. إجراء اختبار الأقمشة والمنتجات</w:t>
      </w:r>
    </w:p>
    <w:p>
      <w:pPr>
        <w:pStyle w:val="ListeParagraf"/>
        <w:numPr>
          <w:ilvl w:val="0"/>
          <w:numId w:val="1"/>
        </w:numPr>
        <w:bidi/>
        <w:spacing w:after="60"/>
        <w:jc w:val="both"/>
      </w:pPr>
      <w:r>
        <w:rPr>
          <w:rFonts w:ascii="Calibri" w:hAnsi="Calibri" w:cs="Arial"/>
          <w:rtl/>
          <w:sz w:val="24"/>
          <w:szCs w:val="24"/>
        </w:rPr>
        <w:t xml:space="preserve">EMS.DP.FRM.08.02. نموذج الإبلاغ عن المواد غير المطابقة</w:t>
      </w:r>
    </w:p>
    <w:p>
      <w:pPr>
        <w:pStyle w:val="ListeParagraf"/>
        <w:numPr>
          <w:ilvl w:val="0"/>
          <w:numId w:val="1"/>
        </w:numPr>
        <w:bidi/>
        <w:spacing w:after="60"/>
        <w:jc w:val="both"/>
      </w:pPr>
      <w:r>
        <w:rPr>
          <w:rFonts w:ascii="Calibri" w:hAnsi="Calibri" w:cs="Arial"/>
          <w:rtl/>
          <w:sz w:val="24"/>
          <w:szCs w:val="24"/>
        </w:rPr>
        <w:t xml:space="preserve">EMS.SA.FRM.04.06. نموذج طلب CAPA من المورد</w:t>
      </w:r>
    </w:p>
    <w:p>
      <w:pPr>
        <w:pStyle w:val="ListeParagraf"/>
        <w:numPr>
          <w:ilvl w:val="0"/>
          <w:numId w:val="1"/>
        </w:numPr>
        <w:bidi/>
        <w:spacing w:after="60"/>
        <w:jc w:val="both"/>
      </w:pPr>
      <w:r>
        <w:rPr>
          <w:rFonts w:ascii="Calibri" w:hAnsi="Calibri" w:cs="Arial"/>
          <w:rtl/>
          <w:sz w:val="24"/>
          <w:szCs w:val="24"/>
        </w:rPr>
        <w:t xml:space="preserve">EMS.QA.FRM.03.06. نموذج سجل صندوق حجر كاشف المعادن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ضمان الجودة بالتعاون مع الإنتاج والمشتريات والتسويق، وبعد أي تقرير NCR حرج أو تغيير في متطلبات العملاء. وتُشارك نتائج التقارير واتجاهاتها والدروس المستفادة مع الأقسام وتُستخدم لتحسين العمليات.</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NONCONFORMANCE REPORT (NCR) PROCEDURE</w:t>
          </w:r>
        </w:p>
        <w:p>
          <w:pPr>
            <w:pStyle w:val="GvdeMetni2"/>
            <w:bidi/>
            <w:spacing w:line="276" w:lineRule="auto"/>
            <w:jc w:val="center"/>
          </w:pPr>
          <w:r>
            <w:rPr>
              <w:rFonts w:asciiTheme="minorHAnsi" w:hAnsiTheme="minorHAnsi" w:cs="Arial"/>
              <w:b/>
              <w:bCs/>
              <w:color w:val="000000" w:themeColor="text1"/>
              <w:sz w:val="22"/>
              <w:szCs w:val="22"/>
              <w:rtl/>
            </w:rPr>
            <w:t>إجراء تقرير عدم المطابقة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EMS.QA.PRO.02.06. NONCONFORMANCE REPORT (NCR)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