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1. POLICY STATEMENT</w:t>
      </w:r>
    </w:p>
    <w:p>
      <w:pPr>
        <w:pStyle w:val="ListeParagraf"/>
        <w:spacing w:after="80"/>
        <w:ind w:left="709" w:right="0"/>
        <w:jc w:val="both"/>
      </w:pPr>
      <w:r>
        <w:rPr>
          <w:rFonts w:ascii="Calibri" w:hAnsi="Calibri" w:cs="Arial"/>
          <w:sz w:val="24"/>
          <w:szCs w:val="24"/>
        </w:rPr>
        <w:t xml:space="preserve">Eroglu Knitting (EMS) is firmly committed to achieving the highest levels of international and global compliance to protect the environment and promote sustainable manufacturing across all its operating units. Our strategy aligns with ISO 14001, ISO 50001, ZDHC, the Higg Index, global sustainability standards (GOTS, GRS, Better Cotton, OEKO-TEX, bluesign, BCI), the UN Sustainable Development Goals, Egyptian Environmental Law, SCZONE regulations, and our customers' RSLs and sustainability compliance requirements.</w:t>
      </w:r>
    </w:p>
    <w:p>
      <w:pPr>
        <w:pStyle w:val="ListeParagraf"/>
        <w:spacing w:before="120" w:after="60"/>
        <w:ind w:left="709" w:right="0"/>
      </w:pPr>
      <w:r>
        <w:rPr>
          <w:rFonts w:ascii="Calibri" w:hAnsi="Calibri" w:cs="Arial"/>
          <w:b/>
          <w:bCs/>
          <w:sz w:val="24"/>
          <w:szCs w:val="24"/>
        </w:rPr>
        <w:t xml:space="preserve">2. OUR COMMITMENTS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Environmental Management (ISO 14001): </w:t>
      </w:r>
      <w:r>
        <w:rPr>
          <w:rFonts w:ascii="Calibri" w:hAnsi="Calibri" w:cs="Arial"/>
          <w:sz w:val="24"/>
          <w:szCs w:val="24"/>
        </w:rPr>
        <w:t xml:space="preserve">Apply a structured EMS approach based on risk control, documentation, compliance tracking and continuous improvement.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Energy Management (ISO 50001): </w:t>
      </w:r>
      <w:r>
        <w:rPr>
          <w:rFonts w:ascii="Calibri" w:hAnsi="Calibri" w:cs="Arial"/>
          <w:sz w:val="24"/>
          <w:szCs w:val="24"/>
        </w:rPr>
        <w:t xml:space="preserve">Implement a systematic approach to improve energy performance through monitoring, efficiency optimization and continuous reduction of energy consumption.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United Nations Sustainable Development Goals (UN SDGs): </w:t>
      </w:r>
      <w:r>
        <w:rPr>
          <w:rFonts w:ascii="Calibri" w:hAnsi="Calibri" w:cs="Arial"/>
          <w:sz w:val="24"/>
          <w:szCs w:val="24"/>
        </w:rPr>
        <w:t xml:space="preserve">Align environmental and social practices with the global goals for clean water, clean energy, responsible production and climate action.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Chemical Responsibility (ZDHC &amp; RSL): </w:t>
      </w:r>
      <w:r>
        <w:rPr>
          <w:rFonts w:ascii="Calibri" w:hAnsi="Calibri" w:cs="Arial"/>
          <w:sz w:val="24"/>
          <w:szCs w:val="24"/>
        </w:rPr>
        <w:t xml:space="preserve">Use only approved chemicals compliant with the ZDHC MRSL and customer RSL criteria. Ensure SDS availability, labeling, controlled storage, traceability and spill prevention.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Water Stewardship: </w:t>
      </w:r>
      <w:r>
        <w:rPr>
          <w:rFonts w:ascii="Calibri" w:hAnsi="Calibri" w:cs="Arial"/>
          <w:sz w:val="24"/>
          <w:szCs w:val="24"/>
        </w:rPr>
        <w:t xml:space="preserve">Implement water-saving technologies and operate a circular water management system with a target of 65% internal water reuse, reducing fresh water consumption.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Energy Efficiency &amp; Renewable Transition: </w:t>
      </w:r>
      <w:r>
        <w:rPr>
          <w:rFonts w:ascii="Calibri" w:hAnsi="Calibri" w:cs="Arial"/>
          <w:sz w:val="24"/>
          <w:szCs w:val="24"/>
        </w:rPr>
        <w:t xml:space="preserve">Monitor electricity, steam and diesel consumption, and evaluate the integration of renewable energy solutions to improve efficiency and reduce environmental impact.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Sustainable Technology Procurement: </w:t>
      </w:r>
      <w:r>
        <w:rPr>
          <w:rFonts w:ascii="Calibri" w:hAnsi="Calibri" w:cs="Arial"/>
          <w:sz w:val="24"/>
          <w:szCs w:val="24"/>
        </w:rPr>
        <w:t xml:space="preserve">Prioritize low-energy machinery, LED systems, condensate recovery, efficient boilers and inverter motors in all future and current equipment upgrades.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Environmental Monitoring &amp; Air Quality Control: </w:t>
      </w:r>
      <w:r>
        <w:rPr>
          <w:rFonts w:ascii="Calibri" w:hAnsi="Calibri" w:cs="Arial"/>
          <w:sz w:val="24"/>
          <w:szCs w:val="24"/>
        </w:rPr>
        <w:t xml:space="preserve">Monitor and manage all relevant environmental parameters, including air emissions, workplace exposure levels and atmospheric pollutants including GHG, supported by proper ventilation, control systems and occupational protection measures.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Waste Segregation &amp; Legal Disposal: </w:t>
      </w:r>
      <w:r>
        <w:rPr>
          <w:rFonts w:ascii="Calibri" w:hAnsi="Calibri" w:cs="Arial"/>
          <w:sz w:val="24"/>
          <w:szCs w:val="24"/>
        </w:rPr>
        <w:t xml:space="preserve">Segregate hazardous and non-hazardous waste, maintain documentation, and dispose of waste through licensed EEAA-approved contractors following traceability principles.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Regulatory &amp; Customer Compliance: </w:t>
      </w:r>
      <w:r>
        <w:rPr>
          <w:rFonts w:ascii="Calibri" w:hAnsi="Calibri" w:cs="Arial"/>
          <w:sz w:val="24"/>
          <w:szCs w:val="24"/>
        </w:rPr>
        <w:t xml:space="preserve">Meet SCZONE requirements, Higg FEM standards, ISO 50001 and ISO 14001 documentation standards, and customer environmental guidelines with transparent data sharing.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Training &amp; Awareness: </w:t>
      </w:r>
      <w:r>
        <w:rPr>
          <w:rFonts w:ascii="Calibri" w:hAnsi="Calibri" w:cs="Arial"/>
          <w:sz w:val="24"/>
          <w:szCs w:val="24"/>
        </w:rPr>
        <w:t xml:space="preserve">Provide continuous training on RSL/MRSL compliance, chemical safety, clean production, water and energy conservation, and emergency response to all relevant personnel.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Biodiversity, Deforestation &amp; Responsible Sourcing: </w:t>
      </w:r>
      <w:r>
        <w:rPr>
          <w:rFonts w:ascii="Calibri" w:hAnsi="Calibri" w:cs="Arial"/>
          <w:sz w:val="24"/>
          <w:szCs w:val="24"/>
        </w:rPr>
        <w:t xml:space="preserve">Eroglu Knitting (EMS) promotes responsible sourcing of cotton, packaging and auxiliary materials, prioritizing suppliers aligned with Better Cotton, GOTS, GRS, RCS, FSC and OEKO-TEX standards. We actively encourage our supply chain to adopt ecosystem-respecting, deforestation-free practices to protect biodiversity.</w:t>
      </w:r>
    </w:p>
    <w:p>
      <w:pPr>
        <w:pStyle w:val="ListeParagraf"/>
        <w:spacing w:before="120" w:after="60"/>
        <w:ind w:left="709" w:right="0"/>
      </w:pPr>
      <w:r>
        <w:rPr>
          <w:rFonts w:ascii="Calibri" w:hAnsi="Calibri" w:cs="Arial"/>
          <w:b/>
          <w:bCs/>
          <w:sz w:val="24"/>
          <w:szCs w:val="24"/>
        </w:rPr>
        <w:t xml:space="preserve">3. DECLARATION</w:t>
      </w:r>
    </w:p>
    <w:p>
      <w:pPr>
        <w:pStyle w:val="ListeParagraf"/>
        <w:spacing w:after="80"/>
        <w:ind w:left="709" w:right="0"/>
        <w:jc w:val="both"/>
      </w:pPr>
      <w:r>
        <w:rPr>
          <w:rFonts w:ascii="Calibri" w:hAnsi="Calibri" w:cs="Arial"/>
          <w:sz w:val="24"/>
          <w:szCs w:val="24"/>
        </w:rPr>
        <w:t xml:space="preserve">Eroglu Knitting (EMS) commits to responsible production, safe chemical management, circular water use with a 65% reuse target, renewable energy integration, sustainable technology adoption, waste control, and transparent communication with all stakeholders.</w:t>
      </w:r>
    </w:p>
    <w:p>
      <w:r>
        <w:br w:type="page"/>
      </w:r>
    </w:p>
    <w:p>
      <w:pPr>
        <w:pStyle w:val="ListeParagraf"/>
        <w:bidi/>
        <w:spacing w:before="120" w:after="60"/>
        <w:ind w:left="0" w:right="709"/>
      </w:pPr>
      <w:r>
        <w:rPr>
          <w:rFonts w:ascii="Calibri" w:hAnsi="Calibri" w:cs="Arial"/>
          <w:b/>
          <w:bCs/>
          <w:rtl/>
          <w:sz w:val="24"/>
          <w:szCs w:val="24"/>
        </w:rPr>
        <w:t xml:space="preserve">1. بيان السياسة</w:t>
      </w:r>
    </w:p>
    <w:p>
      <w:pPr>
        <w:pStyle w:val="ListeParagraf"/>
        <w:bidi/>
        <w:spacing w:after="80"/>
        <w:ind w:left="0" w:right="709"/>
        <w:jc w:val="both"/>
      </w:pPr>
      <w:r>
        <w:rPr>
          <w:rFonts w:ascii="Calibri" w:hAnsi="Calibri" w:cs="Arial"/>
          <w:rtl/>
          <w:sz w:val="24"/>
          <w:szCs w:val="24"/>
        </w:rPr>
        <w:t xml:space="preserve">تلتزم إيروغلو للتريكو (EMS) التزامًا راسخًا بتحقيق أعلى مستويات الامتثال الدولي والعالمي لحماية البيئة وتعزيز التصنيع المستدام في جميع وحداتها التشغيلية. وتتوافق استراتيجيتنا مع معايير ISO 14001 وISO 50001 وZDHC ومؤشر Higg، ومعايير الاستدامة العالمية (GOTS وGRS وBetter Cotton وOEKO-TEX وbluesign وBCI)، وأهداف الأمم المتحدة للتنمية المستدامة، وقانون البيئة المصري، ولوائح المنطقة الاقتصادية لقناة السويس (SCZONE)، وقوائم المواد المقيدة (RSL) لعملائنا ومتطلباتهم في الامتثال للاستدامة.</w:t>
      </w:r>
    </w:p>
    <w:p>
      <w:pPr>
        <w:pStyle w:val="ListeParagraf"/>
        <w:bidi/>
        <w:spacing w:before="120" w:after="60"/>
        <w:ind w:left="0" w:right="709"/>
      </w:pPr>
      <w:r>
        <w:rPr>
          <w:rFonts w:ascii="Calibri" w:hAnsi="Calibri" w:cs="Arial"/>
          <w:b/>
          <w:bCs/>
          <w:rtl/>
          <w:sz w:val="24"/>
          <w:szCs w:val="24"/>
        </w:rPr>
        <w:t xml:space="preserve">2. التزاماتنا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الإدارة البيئية (ISO 14001): </w:t>
      </w:r>
      <w:r>
        <w:rPr>
          <w:rFonts w:ascii="Calibri" w:hAnsi="Calibri" w:cs="Arial"/>
          <w:rtl/>
          <w:sz w:val="24"/>
          <w:szCs w:val="24"/>
        </w:rPr>
        <w:t xml:space="preserve">تطبيق نهج منظم لنظام الإدارة البيئية قائم على التحكم في المخاطر والتوثيق وتتبع الامتثال والتحسين المستمر.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إدارة الطاقة (ISO 50001): </w:t>
      </w:r>
      <w:r>
        <w:rPr>
          <w:rFonts w:ascii="Calibri" w:hAnsi="Calibri" w:cs="Arial"/>
          <w:rtl/>
          <w:sz w:val="24"/>
          <w:szCs w:val="24"/>
        </w:rPr>
        <w:t xml:space="preserve">تطبيق نهج منهجي لتحسين أداء الطاقة من خلال المراقبة وتحسين الكفاءة والخفض المستمر لاستهلاك الطاقة.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أهداف الأمم المتحدة للتنمية المستدامة (UN SDGs): </w:t>
      </w:r>
      <w:r>
        <w:rPr>
          <w:rFonts w:ascii="Calibri" w:hAnsi="Calibri" w:cs="Arial"/>
          <w:rtl/>
          <w:sz w:val="24"/>
          <w:szCs w:val="24"/>
        </w:rPr>
        <w:t xml:space="preserve">مواءمة الممارسات البيئية والاجتماعية مع الأهداف العالمية المتعلقة بالمياه النظيفة والطاقة النظيفة والإنتاج المسؤول والعمل المناخي.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المسؤولية الكيميائية (ZDHC وRSL): </w:t>
      </w:r>
      <w:r>
        <w:rPr>
          <w:rFonts w:ascii="Calibri" w:hAnsi="Calibri" w:cs="Arial"/>
          <w:rtl/>
          <w:sz w:val="24"/>
          <w:szCs w:val="24"/>
        </w:rPr>
        <w:t xml:space="preserve">استخدام المواد الكيميائية المعتمدة فقط والمتوافقة مع قائمة ZDHC للمواد المقيدة في التصنيع (MRSL) ومعايير RSL الخاصة بالعملاء، وضمان توفر صحائف بيانات السلامة (SDS) والوسم والتخزين المُحكم والتتبع ومنع الانسكابات.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الإشراف على المياه: </w:t>
      </w:r>
      <w:r>
        <w:rPr>
          <w:rFonts w:ascii="Calibri" w:hAnsi="Calibri" w:cs="Arial"/>
          <w:rtl/>
          <w:sz w:val="24"/>
          <w:szCs w:val="24"/>
        </w:rPr>
        <w:t xml:space="preserve">تطبيق تقنيات توفير المياه وتشغيل نظام دائري لإدارة المياه بهدف إعادة استخدام 65% من المياه داخليًا، وخفض استهلاك المياه العذبة.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كفاءة الطاقة والتحول إلى الطاقة المتجددة: </w:t>
      </w:r>
      <w:r>
        <w:rPr>
          <w:rFonts w:ascii="Calibri" w:hAnsi="Calibri" w:cs="Arial"/>
          <w:rtl/>
          <w:sz w:val="24"/>
          <w:szCs w:val="24"/>
        </w:rPr>
        <w:t xml:space="preserve">مراقبة استهلاك الكهرباء والبخار والديزل، وتقييم دمج حلول الطاقة المتجددة لتحسين الكفاءة وتقليل الأثر البيئي.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شراء التقنيات المستدامة: </w:t>
      </w:r>
      <w:r>
        <w:rPr>
          <w:rFonts w:ascii="Calibri" w:hAnsi="Calibri" w:cs="Arial"/>
          <w:rtl/>
          <w:sz w:val="24"/>
          <w:szCs w:val="24"/>
        </w:rPr>
        <w:t xml:space="preserve">إعطاء الأولوية للآلات منخفضة استهلاك الطاقة وأنظمة الإضاءة LED واسترجاع المتكثفات والغلايات عالية الكفاءة والمحركات ذات العاكس (الإنفرتر) في جميع عمليات تحديث المعدات الحالية والمستقبلية.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المراقبة البيئية والتحكم في جودة الهواء: </w:t>
      </w:r>
      <w:r>
        <w:rPr>
          <w:rFonts w:ascii="Calibri" w:hAnsi="Calibri" w:cs="Arial"/>
          <w:rtl/>
          <w:sz w:val="24"/>
          <w:szCs w:val="24"/>
        </w:rPr>
        <w:t xml:space="preserve">مراقبة جميع المعايير البيئية ذات الصلة وإدارتها، بما في ذلك الانبعاثات الهوائية ومستويات التعرض في مكان العمل والملوثات الجوية بما فيها غازات الاحتباس الحراري، مدعومةً بالتهوية المناسبة وأنظمة التحكم وتدابير الحماية المهنية.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فصل النفايات والتخلص القانوني منها: </w:t>
      </w:r>
      <w:r>
        <w:rPr>
          <w:rFonts w:ascii="Calibri" w:hAnsi="Calibri" w:cs="Arial"/>
          <w:rtl/>
          <w:sz w:val="24"/>
          <w:szCs w:val="24"/>
        </w:rPr>
        <w:t xml:space="preserve">فصل النفايات الخطرة عن غير الخطرة، والاحتفاظ بالمستندات، والتخلص منها عبر مقاولين مرخصين ومعتمدين من جهاز شؤون البيئة (EEAA) وفقًا لمبادئ التتبع.</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الامتثال التنظيمي ولمتطلبات العملاء: </w:t>
      </w:r>
      <w:r>
        <w:rPr>
          <w:rFonts w:ascii="Calibri" w:hAnsi="Calibri" w:cs="Arial"/>
          <w:rtl/>
          <w:sz w:val="24"/>
          <w:szCs w:val="24"/>
        </w:rPr>
        <w:t xml:space="preserve">استيفاء متطلبات المنطقة الاقتصادية لقناة السويس (SCZONE) ومعايير Higg FEM ومعايير التوثيق الخاصة بـ ISO 50001 وISO 14001 والإرشادات البيئية للعملاء مع مشاركة البيانات بشفافية.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التدريب والتوعية: </w:t>
      </w:r>
      <w:r>
        <w:rPr>
          <w:rFonts w:ascii="Calibri" w:hAnsi="Calibri" w:cs="Arial"/>
          <w:rtl/>
          <w:sz w:val="24"/>
          <w:szCs w:val="24"/>
        </w:rPr>
        <w:t xml:space="preserve">تقديم تدريب مستمر لجميع الموظفين المعنيين حول الامتثال لقوائم RSL/MRSL، والسلامة الكيميائية، والإنتاج النظيف، وترشيد المياه والطاقة، والاستجابة للطوارئ.</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التنوع البيولوجي وإزالة الغابات والتوريد المسؤول: </w:t>
      </w:r>
      <w:r>
        <w:rPr>
          <w:rFonts w:ascii="Calibri" w:hAnsi="Calibri" w:cs="Arial"/>
          <w:rtl/>
          <w:sz w:val="24"/>
          <w:szCs w:val="24"/>
        </w:rPr>
        <w:t xml:space="preserve">تعزز إيروغلو للتريكو (EMS) التوريد المسؤول للقطن ومواد التغليف والمواد المساعدة، مع إعطاء الأولوية للموردين المتوافقين مع معايير Better Cotton وGOTS وGRS وRCS وFSC وOEKO-TEX. ونشجع سلسلة التوريد لدينا بفاعلية على تبني ممارسات تحترم النظم البيئية وخالية من إزالة الغابات لحماية التنوع البيولوجي.</w:t>
      </w:r>
    </w:p>
    <w:p>
      <w:pPr>
        <w:pStyle w:val="ListeParagraf"/>
        <w:bidi/>
        <w:spacing w:before="120" w:after="60"/>
        <w:ind w:left="0" w:right="709"/>
      </w:pPr>
      <w:r>
        <w:rPr>
          <w:rFonts w:ascii="Calibri" w:hAnsi="Calibri" w:cs="Arial"/>
          <w:b/>
          <w:bCs/>
          <w:rtl/>
          <w:sz w:val="24"/>
          <w:szCs w:val="24"/>
        </w:rPr>
        <w:t xml:space="preserve">3. الإعلان</w:t>
      </w:r>
    </w:p>
    <w:p>
      <w:pPr>
        <w:pStyle w:val="ListeParagraf"/>
        <w:bidi/>
        <w:spacing w:after="80"/>
        <w:ind w:left="0" w:right="709"/>
        <w:jc w:val="both"/>
      </w:pPr>
      <w:r>
        <w:rPr>
          <w:rFonts w:ascii="Calibri" w:hAnsi="Calibri" w:cs="Arial"/>
          <w:rtl/>
          <w:sz w:val="24"/>
          <w:szCs w:val="24"/>
        </w:rPr>
        <w:t xml:space="preserve">تلتزم إيروغلو للتريكو (EMS) بالإنتاج المسؤول، والإدارة الآمنة للمواد الكيميائية، والاستخدام الدائري للمياه بهدف إعادة استخدام 65%، ودمج الطاقة المتجددة، وتبني التقنيات المستدامة، والتحكم في النفايات، والتواصل الشفاف مع جميع أصحاب المصلحة.</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ENVIRONMENTAL POLICY</w:t>
          </w:r>
        </w:p>
        <w:p>
          <w:pPr>
            <w:pStyle w:val="GvdeMetni2"/>
            <w:bidi/>
            <w:spacing w:line="276" w:lineRule="auto"/>
            <w:jc w:val="center"/>
          </w:pPr>
          <w:r>
            <w:rPr>
              <w:rFonts w:asciiTheme="minorHAnsi" w:hAnsiTheme="minorHAnsi" w:cs="Arial"/>
              <w:b/>
              <w:bCs/>
              <w:color w:val="000000" w:themeColor="text1"/>
              <w:sz w:val="22"/>
              <w:szCs w:val="22"/>
              <w:rtl/>
            </w:rPr>
            <w:t>السياسة البيئية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EMS.ÇV.POL.19.01.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6.10.2026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EMS.BG.POL.15.01. INFORMATION SECURITY AND DATA PROTECTION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