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 AND SCOPE</w:t>
      </w:r>
    </w:p>
    <w:p>
      <w:pPr>
        <w:pStyle w:val="ListeParagraf"/>
        <w:spacing w:after="80"/>
        <w:ind w:left="709" w:right="0"/>
        <w:jc w:val="both"/>
      </w:pPr>
      <w:r>
        <w:rPr>
          <w:rFonts w:ascii="Calibri" w:hAnsi="Calibri" w:cs="Arial"/>
          <w:sz w:val="24"/>
          <w:szCs w:val="24"/>
        </w:rPr>
        <w:t xml:space="preserve">This procedure aims to ensure the controlled management of all physical keys used within the factory, to prevent unauthorized access, to minimize security risks, and to protect all areas with a traceable key system.</w:t>
      </w:r>
    </w:p>
    <w:p>
      <w:pPr>
        <w:pStyle w:val="ListeParagraf"/>
        <w:spacing w:after="80"/>
        <w:ind w:left="709" w:right="0"/>
        <w:jc w:val="both"/>
      </w:pPr>
      <w:r>
        <w:rPr>
          <w:rFonts w:ascii="Calibri" w:hAnsi="Calibri" w:cs="Arial"/>
          <w:sz w:val="24"/>
          <w:szCs w:val="24"/>
        </w:rPr>
        <w:t xml:space="preserve">This procedure covers the keys of production areas, administrative offices, the warehouse, technical areas, security points and all locked sections. All white-collar managers, the Security Unit and authorized employees are within the scope of this procedure.</w:t>
      </w:r>
    </w:p>
    <w:p>
      <w:pPr>
        <w:pStyle w:val="ListeParagraf"/>
        <w:spacing w:before="120" w:after="60"/>
        <w:ind w:left="709" w:right="0"/>
      </w:pPr>
      <w:r>
        <w:rPr>
          <w:rFonts w:ascii="Calibri" w:hAnsi="Calibri" w:cs="Arial"/>
          <w:b/>
          <w:bCs/>
          <w:sz w:val="24"/>
          <w:szCs w:val="24"/>
        </w:rPr>
        <w:t xml:space="preserve">2. MAIN PROCESSES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Inventory and coding of keys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Key handover and authorization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and tracking process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Key return and record update</w:t>
      </w:r>
    </w:p>
    <w:p>
      <w:pPr>
        <w:pStyle w:val="ListeParagraf"/>
        <w:spacing w:before="120" w:after="60"/>
        <w:ind w:left="709" w:right="0"/>
      </w:pPr>
      <w:r>
        <w:rPr>
          <w:rFonts w:ascii="Calibri" w:hAnsi="Calibri" w:cs="Arial"/>
          <w:b/>
          <w:bCs/>
          <w:sz w:val="24"/>
          <w:szCs w:val="24"/>
        </w:rPr>
        <w:t xml:space="preserve">3. SUB-PROCESSES</w:t>
      </w:r>
    </w:p>
    <w:p>
      <w:pPr>
        <w:pStyle w:val="ListeParagraf"/>
        <w:spacing w:before="80" w:after="40"/>
        <w:ind w:left="709" w:right="0"/>
      </w:pPr>
      <w:r>
        <w:rPr>
          <w:rFonts w:ascii="Calibri" w:hAnsi="Calibri" w:cs="Arial"/>
          <w:b/>
          <w:bCs/>
          <w:sz w:val="24"/>
          <w:szCs w:val="24"/>
        </w:rPr>
        <w:t xml:space="preserve">3.1 Inventory and Coding of Keys</w:t>
      </w:r>
    </w:p>
    <w:p>
      <w:pPr>
        <w:pStyle w:val="ListeParagraf"/>
        <w:spacing w:after="80"/>
        <w:ind w:left="709" w:right="0"/>
        <w:jc w:val="both"/>
      </w:pPr>
      <w:r>
        <w:rPr>
          <w:rFonts w:ascii="Calibri" w:hAnsi="Calibri" w:cs="Arial"/>
          <w:sz w:val="24"/>
          <w:szCs w:val="24"/>
        </w:rPr>
        <w:t xml:space="preserve">All keys used in the factory are inventoried by the Security Unit and systematically coded by numbering. Each key is recorded together with the area to which it belongs. In this way, it can be clearly tracked which key belongs to which door. The inventory is updated regularly.</w:t>
      </w:r>
    </w:p>
    <w:p>
      <w:pPr>
        <w:pStyle w:val="ListeParagraf"/>
        <w:spacing w:before="80" w:after="40"/>
        <w:ind w:left="709" w:right="0"/>
      </w:pPr>
      <w:r>
        <w:rPr>
          <w:rFonts w:ascii="Calibri" w:hAnsi="Calibri" w:cs="Arial"/>
          <w:b/>
          <w:bCs/>
          <w:sz w:val="24"/>
          <w:szCs w:val="24"/>
        </w:rPr>
        <w:t xml:space="preserve">3.2 Key Handover and Authorization</w:t>
      </w:r>
    </w:p>
    <w:p>
      <w:pPr>
        <w:pStyle w:val="ListeParagraf"/>
        <w:spacing w:after="80"/>
        <w:ind w:left="709" w:right="0"/>
        <w:jc w:val="both"/>
      </w:pPr>
      <w:r>
        <w:rPr>
          <w:rFonts w:ascii="Calibri" w:hAnsi="Calibri" w:cs="Arial"/>
          <w:sz w:val="24"/>
          <w:szCs w:val="24"/>
        </w:rPr>
        <w:t xml:space="preserve">Keys are handed over only to authorized personnel against signature. During handover, the purpose and duration of use are clearly defined. Keys are never given to unauthorized persons under any circumstances. The Security Unit keeps records of all handover processes.</w:t>
      </w:r>
    </w:p>
    <w:p>
      <w:pPr>
        <w:pStyle w:val="ListeParagraf"/>
        <w:spacing w:before="80" w:after="40"/>
        <w:ind w:left="709" w:right="0"/>
      </w:pPr>
      <w:r>
        <w:rPr>
          <w:rFonts w:ascii="Calibri" w:hAnsi="Calibri" w:cs="Arial"/>
          <w:b/>
          <w:bCs/>
          <w:sz w:val="24"/>
          <w:szCs w:val="24"/>
        </w:rPr>
        <w:t xml:space="preserve">3.3 Use and Tracking Process</w:t>
      </w:r>
    </w:p>
    <w:p>
      <w:pPr>
        <w:pStyle w:val="ListeParagraf"/>
        <w:spacing w:after="80"/>
        <w:ind w:left="709" w:right="0"/>
        <w:jc w:val="both"/>
      </w:pPr>
      <w:r>
        <w:rPr>
          <w:rFonts w:ascii="Calibri" w:hAnsi="Calibri" w:cs="Arial"/>
          <w:sz w:val="24"/>
          <w:szCs w:val="24"/>
        </w:rPr>
        <w:t xml:space="preserve">Keys that have been handed over must be used only in the designated areas and within the scope of the assigned duties. If a key is lost, damaged or used without authorization, the Security Unit is informed immediately. Periodic checks are carried out to regularly verify who holds each key. This process is of critical importance for reducing security risks.</w:t>
      </w:r>
    </w:p>
    <w:p>
      <w:pPr>
        <w:pStyle w:val="ListeParagraf"/>
        <w:spacing w:before="80" w:after="40"/>
        <w:ind w:left="709" w:right="0"/>
      </w:pPr>
      <w:r>
        <w:rPr>
          <w:rFonts w:ascii="Calibri" w:hAnsi="Calibri" w:cs="Arial"/>
          <w:b/>
          <w:bCs/>
          <w:sz w:val="24"/>
          <w:szCs w:val="24"/>
        </w:rPr>
        <w:t xml:space="preserve">3.4 Key Return and Record Update</w:t>
      </w:r>
    </w:p>
    <w:p>
      <w:pPr>
        <w:pStyle w:val="ListeParagraf"/>
        <w:spacing w:after="80"/>
        <w:ind w:left="709" w:right="0"/>
        <w:jc w:val="both"/>
      </w:pPr>
      <w:r>
        <w:rPr>
          <w:rFonts w:ascii="Calibri" w:hAnsi="Calibri" w:cs="Arial"/>
          <w:sz w:val="24"/>
          <w:szCs w:val="24"/>
        </w:rPr>
        <w:t xml:space="preserve">In cases of a change of duty, leave or termination of employment, keys are returned in full to the Security Unit. After the return, the inventory records are updated and the necessary checks are carried out. Senior management is informed of any missing or unreturned keys. The process is closed with record verification.</w:t>
      </w:r>
    </w:p>
    <w:p>
      <w:r>
        <w:br w:type="page"/>
      </w:r>
    </w:p>
    <w:p>
      <w:pPr>
        <w:pStyle w:val="ListeParagraf"/>
        <w:bidi/>
        <w:spacing w:before="120" w:after="60"/>
        <w:ind w:left="0" w:right="709"/>
      </w:pPr>
      <w:r>
        <w:rPr>
          <w:rFonts w:ascii="Calibri" w:hAnsi="Calibri" w:cs="Arial"/>
          <w:b/>
          <w:bCs/>
          <w:rtl/>
          <w:sz w:val="24"/>
          <w:szCs w:val="24"/>
        </w:rPr>
        <w:t xml:space="preserve">1. الغرض والنطاق</w:t>
      </w:r>
    </w:p>
    <w:p>
      <w:pPr>
        <w:pStyle w:val="ListeParagraf"/>
        <w:bidi/>
        <w:spacing w:after="80"/>
        <w:ind w:left="0" w:right="709"/>
        <w:jc w:val="both"/>
      </w:pPr>
      <w:r>
        <w:rPr>
          <w:rFonts w:ascii="Calibri" w:hAnsi="Calibri" w:cs="Arial"/>
          <w:rtl/>
          <w:sz w:val="24"/>
          <w:szCs w:val="24"/>
        </w:rPr>
        <w:t xml:space="preserve">يهدف هذا الإجراء إلى ضمان الإدارة المنضبطة لجميع المفاتيح المادية المستخدمة داخل المصنع، ومنع الوصول غير المصرح به، وتقليل المخاطر الأمنية إلى الحد الأدنى، وحماية جميع المناطق بنظام مفاتيح قابل للتتبع.</w:t>
      </w:r>
    </w:p>
    <w:p>
      <w:pPr>
        <w:pStyle w:val="ListeParagraf"/>
        <w:bidi/>
        <w:spacing w:after="80"/>
        <w:ind w:left="0" w:right="709"/>
        <w:jc w:val="both"/>
      </w:pPr>
      <w:r>
        <w:rPr>
          <w:rFonts w:ascii="Calibri" w:hAnsi="Calibri" w:cs="Arial"/>
          <w:rtl/>
          <w:sz w:val="24"/>
          <w:szCs w:val="24"/>
        </w:rPr>
        <w:t xml:space="preserve">يشمل هذا الإجراء مفاتيح مناطق الإنتاج والمكاتب الإدارية والمستودع والمناطق الفنية ونقاط الأمن وجميع الأقسام المقفلة. ويخضع لنطاق هذا الإجراء جميع المديرين من ذوي الياقات البيضاء ووحدة الأمن والموظفون المخوّلون.</w:t>
      </w:r>
    </w:p>
    <w:p>
      <w:pPr>
        <w:pStyle w:val="ListeParagraf"/>
        <w:bidi/>
        <w:spacing w:before="120" w:after="60"/>
        <w:ind w:left="0" w:right="709"/>
      </w:pPr>
      <w:r>
        <w:rPr>
          <w:rFonts w:ascii="Calibri" w:hAnsi="Calibri" w:cs="Arial"/>
          <w:b/>
          <w:bCs/>
          <w:rtl/>
          <w:sz w:val="24"/>
          <w:szCs w:val="24"/>
        </w:rPr>
        <w:t xml:space="preserve">2. العمليات الرئيسية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جرد المفاتيح وترميزها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تسليم المفاتيح والتفويض</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عملية الاستخدام والمتابعة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إعادة المفاتيح وتحديث السجلات</w:t>
      </w:r>
    </w:p>
    <w:p>
      <w:pPr>
        <w:pStyle w:val="ListeParagraf"/>
        <w:bidi/>
        <w:spacing w:before="120" w:after="60"/>
        <w:ind w:left="0" w:right="709"/>
      </w:pPr>
      <w:r>
        <w:rPr>
          <w:rFonts w:ascii="Calibri" w:hAnsi="Calibri" w:cs="Arial"/>
          <w:b/>
          <w:bCs/>
          <w:rtl/>
          <w:sz w:val="24"/>
          <w:szCs w:val="24"/>
        </w:rPr>
        <w:t xml:space="preserve">3. العمليات الفرعية</w:t>
      </w:r>
    </w:p>
    <w:p>
      <w:pPr>
        <w:pStyle w:val="ListeParagraf"/>
        <w:bidi/>
        <w:spacing w:before="80" w:after="40"/>
        <w:ind w:left="0" w:right="709"/>
      </w:pPr>
      <w:r>
        <w:rPr>
          <w:rFonts w:ascii="Calibri" w:hAnsi="Calibri" w:cs="Arial"/>
          <w:b/>
          <w:bCs/>
          <w:rtl/>
          <w:sz w:val="24"/>
          <w:szCs w:val="24"/>
        </w:rPr>
        <w:t xml:space="preserve">3.1 جرد المفاتيح وترميزها</w:t>
      </w:r>
    </w:p>
    <w:p>
      <w:pPr>
        <w:pStyle w:val="ListeParagraf"/>
        <w:bidi/>
        <w:spacing w:after="80"/>
        <w:ind w:left="0" w:right="709"/>
        <w:jc w:val="both"/>
      </w:pPr>
      <w:r>
        <w:rPr>
          <w:rFonts w:ascii="Calibri" w:hAnsi="Calibri" w:cs="Arial"/>
          <w:rtl/>
          <w:sz w:val="24"/>
          <w:szCs w:val="24"/>
        </w:rPr>
        <w:t xml:space="preserve">تقوم وحدة الأمن بجرد جميع المفاتيح المستخدمة في المصنع وترقيمها وترميزها بشكل منهجي. ويُسجَّل كل مفتاح مع المنطقة التي يخصها، وبذلك يمكن تتبع المفتاح الخاص بكل باب بوضوح. ويُحدَّث الجرد بانتظام.</w:t>
      </w:r>
    </w:p>
    <w:p>
      <w:pPr>
        <w:pStyle w:val="ListeParagraf"/>
        <w:bidi/>
        <w:spacing w:before="80" w:after="40"/>
        <w:ind w:left="0" w:right="709"/>
      </w:pPr>
      <w:r>
        <w:rPr>
          <w:rFonts w:ascii="Calibri" w:hAnsi="Calibri" w:cs="Arial"/>
          <w:b/>
          <w:bCs/>
          <w:rtl/>
          <w:sz w:val="24"/>
          <w:szCs w:val="24"/>
        </w:rPr>
        <w:t xml:space="preserve">3.2 تسليم المفاتيح والتفويض</w:t>
      </w:r>
    </w:p>
    <w:p>
      <w:pPr>
        <w:pStyle w:val="ListeParagraf"/>
        <w:bidi/>
        <w:spacing w:after="80"/>
        <w:ind w:left="0" w:right="709"/>
        <w:jc w:val="both"/>
      </w:pPr>
      <w:r>
        <w:rPr>
          <w:rFonts w:ascii="Calibri" w:hAnsi="Calibri" w:cs="Arial"/>
          <w:rtl/>
          <w:sz w:val="24"/>
          <w:szCs w:val="24"/>
        </w:rPr>
        <w:t xml:space="preserve">تُسلَّم المفاتيح إلى الموظفين المخوّلين فقط مقابل التوقيع. ويُحدَّد أثناء التسليم الغرض من الاستخدام ومدته بوضوح. ولا تُعطى المفاتيح بأي حال من الأحوال لأشخاص غير مخوّلين. وتحتفظ وحدة الأمن بسجلات جميع عمليات التسليم.</w:t>
      </w:r>
    </w:p>
    <w:p>
      <w:pPr>
        <w:pStyle w:val="ListeParagraf"/>
        <w:bidi/>
        <w:spacing w:before="80" w:after="40"/>
        <w:ind w:left="0" w:right="709"/>
      </w:pPr>
      <w:r>
        <w:rPr>
          <w:rFonts w:ascii="Calibri" w:hAnsi="Calibri" w:cs="Arial"/>
          <w:b/>
          <w:bCs/>
          <w:rtl/>
          <w:sz w:val="24"/>
          <w:szCs w:val="24"/>
        </w:rPr>
        <w:t xml:space="preserve">3.3 عملية الاستخدام والمتابعة</w:t>
      </w:r>
    </w:p>
    <w:p>
      <w:pPr>
        <w:pStyle w:val="ListeParagraf"/>
        <w:bidi/>
        <w:spacing w:after="80"/>
        <w:ind w:left="0" w:right="709"/>
        <w:jc w:val="both"/>
      </w:pPr>
      <w:r>
        <w:rPr>
          <w:rFonts w:ascii="Calibri" w:hAnsi="Calibri" w:cs="Arial"/>
          <w:rtl/>
          <w:sz w:val="24"/>
          <w:szCs w:val="24"/>
        </w:rPr>
        <w:t xml:space="preserve">يجب استخدام المفاتيح المسلَّمة في المناطق المحددة وضمن نطاق المهام الموكلة فقط. وفي حال فقدان المفتاح أو تلفه أو استخدامه دون تصريح، تُبلَّغ وحدة الأمن فورًا. وتُجرى فحوصات دورية للتحقق بانتظام من حائز كل مفتاح. وتكتسب هذه العملية أهمية بالغة في الحد من المخاطر الأمنية.</w:t>
      </w:r>
    </w:p>
    <w:p>
      <w:pPr>
        <w:pStyle w:val="ListeParagraf"/>
        <w:bidi/>
        <w:spacing w:before="80" w:after="40"/>
        <w:ind w:left="0" w:right="709"/>
      </w:pPr>
      <w:r>
        <w:rPr>
          <w:rFonts w:ascii="Calibri" w:hAnsi="Calibri" w:cs="Arial"/>
          <w:b/>
          <w:bCs/>
          <w:rtl/>
          <w:sz w:val="24"/>
          <w:szCs w:val="24"/>
        </w:rPr>
        <w:t xml:space="preserve">3.4 إعادة المفاتيح وتحديث السجلات</w:t>
      </w:r>
    </w:p>
    <w:p>
      <w:pPr>
        <w:pStyle w:val="ListeParagraf"/>
        <w:bidi/>
        <w:spacing w:after="80"/>
        <w:ind w:left="0" w:right="709"/>
        <w:jc w:val="both"/>
      </w:pPr>
      <w:r>
        <w:rPr>
          <w:rFonts w:ascii="Calibri" w:hAnsi="Calibri" w:cs="Arial"/>
          <w:rtl/>
          <w:sz w:val="24"/>
          <w:szCs w:val="24"/>
        </w:rPr>
        <w:t xml:space="preserve">في حالات تغيير المهام أو الإجازة أو ترك العمل، تُعاد المفاتيح كاملة إلى وحدة الأمن. وبعد الإعادة تُحدَّث سجلات الجرد وتُجرى الفحوصات اللازمة. وتُبلَّغ الإدارة العليا بأي مفاتيح مفقودة أو غير مُعادة. وتُغلق العملية بالتحقق من السجلات.</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KEY SECURITY PROCEDURE</w:t>
          </w:r>
        </w:p>
        <w:p>
          <w:pPr>
            <w:pStyle w:val="GvdeMetni2"/>
            <w:bidi/>
            <w:spacing w:line="276" w:lineRule="auto"/>
            <w:jc w:val="center"/>
          </w:pPr>
          <w:r>
            <w:rPr>
              <w:rFonts w:asciiTheme="minorHAnsi" w:hAnsiTheme="minorHAnsi" w:cs="Arial"/>
              <w:b/>
              <w:bCs/>
              <w:color w:val="000000" w:themeColor="text1"/>
              <w:sz w:val="22"/>
              <w:szCs w:val="22"/>
              <w:rtl/>
            </w:rPr>
            <w:t>إجراء أمن المفاتيح</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EMS.İD.PRO.03.04.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