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1. POLICY COMMITMENT</w:t>
      </w:r>
    </w:p>
    <w:p>
      <w:pPr>
        <w:pStyle w:val="ListeParagraf"/>
        <w:spacing w:after="80"/>
        <w:ind w:left="709" w:right="0"/>
        <w:jc w:val="both"/>
      </w:pPr>
      <w:r>
        <w:rPr>
          <w:rFonts w:ascii="Calibri" w:hAnsi="Calibri" w:cs="Arial"/>
          <w:sz w:val="24"/>
          <w:szCs w:val="24"/>
        </w:rPr>
        <w:t xml:space="preserve">Eroglu Knitting (EMS) is committed to maintaining an effective, transparent, accessible, fair and respectful grievance and complaints mechanism for workers, the local community and internal and external stakeholders. The Company recognizes the right of individuals and groups to raise concerns related to its activities and is committed to addressing such concerns without retaliation or adverse treatment.</w:t>
      </w:r>
    </w:p>
    <w:p>
      <w:pPr>
        <w:pStyle w:val="ListeParagraf"/>
        <w:spacing w:after="80"/>
        <w:ind w:left="709" w:right="0"/>
        <w:jc w:val="both"/>
      </w:pPr>
      <w:r>
        <w:rPr>
          <w:rFonts w:ascii="Calibri" w:hAnsi="Calibri" w:cs="Arial"/>
          <w:sz w:val="24"/>
          <w:szCs w:val="24"/>
        </w:rPr>
        <w:t xml:space="preserve">The Company will maintain a mechanism that supports timely and impartial consideration of grievances, protection of confidentiality, anonymous reporting where possible, appropriate corrective action, effectiveness verification, appeal and escalation, and continual improvement.</w:t>
      </w:r>
    </w:p>
    <w:p>
      <w:pPr>
        <w:pStyle w:val="ListeParagraf"/>
        <w:spacing w:before="120" w:after="60"/>
        <w:ind w:left="709" w:right="0"/>
      </w:pPr>
      <w:r>
        <w:rPr>
          <w:rFonts w:ascii="Calibri" w:hAnsi="Calibri" w:cs="Arial"/>
          <w:b/>
          <w:bCs/>
          <w:sz w:val="24"/>
          <w:szCs w:val="24"/>
        </w:rPr>
        <w:t xml:space="preserve">2. SCOPE</w:t>
      </w:r>
    </w:p>
    <w:p>
      <w:pPr>
        <w:pStyle w:val="ListeParagraf"/>
        <w:spacing w:after="80"/>
        <w:ind w:left="709" w:right="0"/>
        <w:jc w:val="both"/>
      </w:pPr>
      <w:r>
        <w:rPr>
          <w:rFonts w:ascii="Calibri" w:hAnsi="Calibri" w:cs="Arial"/>
          <w:sz w:val="24"/>
          <w:szCs w:val="24"/>
        </w:rPr>
        <w:t xml:space="preserve">This Policy applies to all workers, departments, operations and activities of the facility and to grievances raised by permanent, temporary, daily-wage and agency workers; trainees; contractors and service providers; worker representatives or trade unions where applicable; community members and neighbouring parties; customers, suppliers, visitors and other stakeholders; and governmental or regulatory bodies.</w:t>
      </w:r>
    </w:p>
    <w:p>
      <w:pPr>
        <w:pStyle w:val="ListeParagraf"/>
        <w:spacing w:after="80"/>
        <w:ind w:left="709" w:right="0"/>
        <w:jc w:val="both"/>
      </w:pPr>
      <w:r>
        <w:rPr>
          <w:rFonts w:ascii="Calibri" w:hAnsi="Calibri" w:cs="Arial"/>
          <w:sz w:val="24"/>
          <w:szCs w:val="24"/>
        </w:rPr>
        <w:t xml:space="preserve">It covers individual, collective and anonymous grievances concerning labour and employment, harassment and discrimination, health and safety, chemical and environmental matters, community impacts, ethics and conduct, and other legitimate matters connected with the Company's activities.</w:t>
      </w:r>
    </w:p>
    <w:p>
      <w:pPr>
        <w:pStyle w:val="ListeParagraf"/>
        <w:spacing w:before="120" w:after="60"/>
        <w:ind w:left="709" w:right="0"/>
      </w:pPr>
      <w:r>
        <w:rPr>
          <w:rFonts w:ascii="Calibri" w:hAnsi="Calibri" w:cs="Arial"/>
          <w:b/>
          <w:bCs/>
          <w:sz w:val="24"/>
          <w:szCs w:val="24"/>
        </w:rPr>
        <w:t xml:space="preserve">3. POLICY PRINCIPLES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Accessibility: </w:t>
      </w:r>
      <w:r>
        <w:rPr>
          <w:rFonts w:ascii="Calibri" w:hAnsi="Calibri" w:cs="Arial"/>
          <w:sz w:val="24"/>
          <w:szCs w:val="24"/>
        </w:rPr>
        <w:t xml:space="preserve">Grievance channels shall be understandable, known and reasonably accessible to workers and stakeholders.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Fairness and impartiality: </w:t>
      </w:r>
      <w:r>
        <w:rPr>
          <w:rFonts w:ascii="Calibri" w:hAnsi="Calibri" w:cs="Arial"/>
          <w:sz w:val="24"/>
          <w:szCs w:val="24"/>
        </w:rPr>
        <w:t xml:space="preserve">Grievances shall be considered objectively and without prejudging the complainant or the subject of the grievance.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Confidentiality: </w:t>
      </w:r>
      <w:r>
        <w:rPr>
          <w:rFonts w:ascii="Calibri" w:hAnsi="Calibri" w:cs="Arial"/>
          <w:sz w:val="24"/>
          <w:szCs w:val="24"/>
        </w:rPr>
        <w:t xml:space="preserve">Personal information and grievance details shall be protected to the maximum extent possible and permitted by law.</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Anonymity: </w:t>
      </w:r>
      <w:r>
        <w:rPr>
          <w:rFonts w:ascii="Calibri" w:hAnsi="Calibri" w:cs="Arial"/>
          <w:sz w:val="24"/>
          <w:szCs w:val="24"/>
        </w:rPr>
        <w:t xml:space="preserve">Anonymous grievances shall be accepted and considered to the extent that available information permits.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Non-retaliation: </w:t>
      </w:r>
      <w:r>
        <w:rPr>
          <w:rFonts w:ascii="Calibri" w:hAnsi="Calibri" w:cs="Arial"/>
          <w:sz w:val="24"/>
          <w:szCs w:val="24"/>
        </w:rPr>
        <w:t xml:space="preserve">Retaliation, discrimination, threats, pressure, penalties, arbitrary transfer, reduction of benefits or negative treatment arising from a good-faith grievance are prohibited.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Timeliness: </w:t>
      </w:r>
      <w:r>
        <w:rPr>
          <w:rFonts w:ascii="Calibri" w:hAnsi="Calibri" w:cs="Arial"/>
          <w:sz w:val="24"/>
          <w:szCs w:val="24"/>
        </w:rPr>
        <w:t xml:space="preserve">The Company shall seek prompt acknowledgement, assessment, resolution and closure appropriate to the nature and complexity of the grievance.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Root-cause and corrective action: </w:t>
      </w:r>
      <w:r>
        <w:rPr>
          <w:rFonts w:ascii="Calibri" w:hAnsi="Calibri" w:cs="Arial"/>
          <w:sz w:val="24"/>
          <w:szCs w:val="24"/>
        </w:rPr>
        <w:t xml:space="preserve">Substantiated or systemic issues shall be addressed through appropriate corrective and preventive measures and effectiveness verification.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Transparency and communication: </w:t>
      </w:r>
      <w:r>
        <w:rPr>
          <w:rFonts w:ascii="Calibri" w:hAnsi="Calibri" w:cs="Arial"/>
          <w:sz w:val="24"/>
          <w:szCs w:val="24"/>
        </w:rPr>
        <w:t xml:space="preserve">Complainants shall receive appropriate information regarding outcomes and actions, subject to confidentiality and legal restrictions.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Worker participation: </w:t>
      </w:r>
      <w:r>
        <w:rPr>
          <w:rFonts w:ascii="Calibri" w:hAnsi="Calibri" w:cs="Arial"/>
          <w:sz w:val="24"/>
          <w:szCs w:val="24"/>
        </w:rPr>
        <w:t xml:space="preserve">Worker representatives and relevant workers shall have an appropriate role in reviewing and improving the grievance mechanism.</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Access to remedy: </w:t>
      </w:r>
      <w:r>
        <w:rPr>
          <w:rFonts w:ascii="Calibri" w:hAnsi="Calibri" w:cs="Arial"/>
          <w:sz w:val="24"/>
          <w:szCs w:val="24"/>
        </w:rPr>
        <w:t xml:space="preserve">The internal mechanism shall not restrict any person's right to contact competent governmental, regulatory or judicial bodies.</w:t>
      </w:r>
    </w:p>
    <w:p>
      <w:pPr>
        <w:pStyle w:val="ListeParagraf"/>
        <w:spacing w:before="120" w:after="60"/>
        <w:ind w:left="709" w:right="0"/>
      </w:pPr>
      <w:r>
        <w:rPr>
          <w:rFonts w:ascii="Calibri" w:hAnsi="Calibri" w:cs="Arial"/>
          <w:b/>
          <w:bCs/>
          <w:sz w:val="24"/>
          <w:szCs w:val="24"/>
        </w:rPr>
        <w:t xml:space="preserve">4. MANAGEMENT COMMITMENTS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Provide adequate resources, authority and competent personnel to maintain the grievance mechanism.</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Maintain suitable internal channels, including accessible worker complaint boxes and appropriate management, HR, EHS and worker-representative channels.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Ensure that complaint boxes are accessible without a supervisor's permission and that confidentiality and protection against unauthorized access are maintained.</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Ensure that workers and stakeholders are informed of available channels, confidentiality, anonymity and non-retaliation rights.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Ensure that grievances are appropriately classified, investigated and addressed, including immediate escalation of critical cases where necessary.</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Ensure that conflicts of interest are managed through appropriate independence in review or investigation.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Provide an appropriate appeal and escalation route and preserve access to external or legal channels.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Use grievance trends, repeated issues and systemic findings as inputs to corrective action, management review and continual improvement.</w:t>
      </w:r>
    </w:p>
    <w:p>
      <w:pPr>
        <w:pStyle w:val="ListeParagraf"/>
        <w:spacing w:before="120" w:after="60"/>
        <w:ind w:left="709" w:right="0"/>
      </w:pPr>
      <w:r>
        <w:rPr>
          <w:rFonts w:ascii="Calibri" w:hAnsi="Calibri" w:cs="Arial"/>
          <w:b/>
          <w:bCs/>
          <w:sz w:val="24"/>
          <w:szCs w:val="24"/>
        </w:rPr>
        <w:t xml:space="preserve">5. CONFIDENTIALITY, ANONYMITY AND PROTECTION</w:t>
      </w:r>
    </w:p>
    <w:p>
      <w:pPr>
        <w:pStyle w:val="ListeParagraf"/>
        <w:spacing w:after="80"/>
        <w:ind w:left="709" w:right="0"/>
        <w:jc w:val="both"/>
      </w:pPr>
      <w:r>
        <w:rPr>
          <w:rFonts w:ascii="Calibri" w:hAnsi="Calibri" w:cs="Arial"/>
          <w:sz w:val="24"/>
          <w:szCs w:val="24"/>
        </w:rPr>
        <w:t xml:space="preserve">The Company shall protect the identity and personal information of complainants to the maximum extent possible and permitted by law. Anonymous complaints are accepted. Information shall be disclosed only to persons with a legitimate need to know for the purpose of assessment, investigation, decision-making or corrective action.</w:t>
      </w:r>
    </w:p>
    <w:p>
      <w:pPr>
        <w:pStyle w:val="ListeParagraf"/>
        <w:spacing w:after="80"/>
        <w:ind w:left="709" w:right="0"/>
        <w:jc w:val="both"/>
      </w:pPr>
      <w:r>
        <w:rPr>
          <w:rFonts w:ascii="Calibri" w:hAnsi="Calibri" w:cs="Arial"/>
          <w:sz w:val="24"/>
          <w:szCs w:val="24"/>
        </w:rPr>
        <w:t xml:space="preserve">No worker shall be compelled to withdraw a grievance or disclose an identity when the mechanism permits an anonymous submission. Good-faith use of the grievance mechanism shall not result in retaliation or adverse treatment.</w:t>
      </w:r>
    </w:p>
    <w:p>
      <w:pPr>
        <w:pStyle w:val="ListeParagraf"/>
        <w:spacing w:before="120" w:after="60"/>
        <w:ind w:left="709" w:right="0"/>
      </w:pPr>
      <w:r>
        <w:rPr>
          <w:rFonts w:ascii="Calibri" w:hAnsi="Calibri" w:cs="Arial"/>
          <w:b/>
          <w:bCs/>
          <w:sz w:val="24"/>
          <w:szCs w:val="24"/>
        </w:rPr>
        <w:t xml:space="preserve">6. CRITICAL GRIEVANCES</w:t>
      </w:r>
    </w:p>
    <w:p>
      <w:pPr>
        <w:pStyle w:val="ListeParagraf"/>
        <w:spacing w:after="80"/>
        <w:ind w:left="709" w:right="0"/>
        <w:jc w:val="both"/>
      </w:pPr>
      <w:r>
        <w:rPr>
          <w:rFonts w:ascii="Calibri" w:hAnsi="Calibri" w:cs="Arial"/>
          <w:sz w:val="24"/>
          <w:szCs w:val="24"/>
        </w:rPr>
        <w:t xml:space="preserve">Cases involving imminent danger to life or safety, serious violence or harassment, suspected child or forced labour, dangerous chemical spills, serious environmental pollution, or other circumstances requiring urgent intervention shall receive immediate management attention and escalation in accordance with applicable emergency, EHS, HR and legal requirements.</w:t>
      </w:r>
    </w:p>
    <w:p>
      <w:pPr>
        <w:pStyle w:val="ListeParagraf"/>
        <w:spacing w:before="120" w:after="60"/>
        <w:ind w:left="709" w:right="0"/>
      </w:pPr>
      <w:r>
        <w:rPr>
          <w:rFonts w:ascii="Calibri" w:hAnsi="Calibri" w:cs="Arial"/>
          <w:b/>
          <w:bCs/>
          <w:sz w:val="24"/>
          <w:szCs w:val="24"/>
        </w:rPr>
        <w:t xml:space="preserve">7. LEGAL AND MANAGEMENT-SYSTEM ALIGNMENT</w:t>
      </w:r>
    </w:p>
    <w:p>
      <w:pPr>
        <w:pStyle w:val="ListeParagraf"/>
        <w:spacing w:after="80"/>
        <w:ind w:left="709" w:right="0"/>
        <w:jc w:val="both"/>
      </w:pPr>
      <w:r>
        <w:rPr>
          <w:rFonts w:ascii="Calibri" w:hAnsi="Calibri" w:cs="Arial"/>
          <w:sz w:val="24"/>
          <w:szCs w:val="24"/>
        </w:rPr>
        <w:t xml:space="preserve">This Policy is implemented in accordance with the facility's Legal &amp; Compliance Obligations Register and applicable requirements, including: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Egyptian Environmental Law No. 4/1994, as amended by Laws No. 9/2009 and 105/2015, and its Executive Regulation.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Law No. 202/2020 on Waste Management.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Egyptian Labour Law No. 14/2025 and applicable provisions concerning forced labour, harassment, bullying, discrimination and individual/collective dispute settlement; this internal mechanism does not replace statutory rights. Law No. 14/2025 repealed Law No. 12/2003.</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Facility Environmental Approval and applicable permits.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ISO 14001:2015, including relevant requirements concerning interested parties, communication, management review and continual improvement.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IFC Performance Standard 1 and IFC General EHS Guidelines.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Higg FEM and Higg FSLM (Cascale), as applicable.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WRAP and SLCP CAF, as applicable.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ZDHC CMS and applicable customer requirements concerning grievances, social and environmental compliance and worker welfare.</w:t>
      </w:r>
    </w:p>
    <w:p>
      <w:pPr>
        <w:pStyle w:val="ListeParagraf"/>
        <w:spacing w:before="120" w:after="60"/>
        <w:ind w:left="709" w:right="0"/>
      </w:pPr>
      <w:r>
        <w:rPr>
          <w:rFonts w:ascii="Calibri" w:hAnsi="Calibri" w:cs="Arial"/>
          <w:b/>
          <w:bCs/>
          <w:sz w:val="24"/>
          <w:szCs w:val="24"/>
        </w:rPr>
        <w:t xml:space="preserve">8. AWARENESS, TRAINING AND WORKER ENGAGEMENT</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All workers should be made aware of the purpose of the mechanism and the channels available to them.</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Workers shall receive appropriate information on complaint-box use, anonymous submission, confidentiality and non-retaliation.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Grievance Committee members and personnel responsible shall receive appropriate training on grievance management and protection of information.</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Awareness materials shall be provided in language(s) understood by the workforce.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Worker understanding of the mechanism shall be evaluated every three months through a dedicated comprehension survey, supported by training, interviews and periodic reviews.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Survey results shall be analysed by Human Resources in coordination with the Environmental Department to identify awareness gaps and guide subsequent training.</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Worker representatives and relevant workers shall be involved in reviewing the effectiveness and accessibility of the mechanism.</w:t>
      </w:r>
    </w:p>
    <w:p>
      <w:pPr>
        <w:pStyle w:val="ListeParagraf"/>
        <w:spacing w:before="120" w:after="60"/>
        <w:ind w:left="709" w:right="0"/>
      </w:pPr>
      <w:r>
        <w:rPr>
          <w:rFonts w:ascii="Calibri" w:hAnsi="Calibri" w:cs="Arial"/>
          <w:b/>
          <w:bCs/>
          <w:sz w:val="24"/>
          <w:szCs w:val="24"/>
        </w:rPr>
        <w:t xml:space="preserve">9. PERFORMANCE, MONITORING AND CONTINUAL IMPROVEMENT</w:t>
      </w:r>
    </w:p>
    <w:p>
      <w:pPr>
        <w:pStyle w:val="ListeParagraf"/>
        <w:spacing w:after="80"/>
        <w:ind w:left="709" w:right="0"/>
        <w:jc w:val="both"/>
      </w:pPr>
      <w:r>
        <w:rPr>
          <w:rFonts w:ascii="Calibri" w:hAnsi="Calibri" w:cs="Arial"/>
          <w:sz w:val="24"/>
          <w:szCs w:val="24"/>
        </w:rPr>
        <w:t xml:space="preserve">The Company shall monitor the effectiveness of the grievance mechanism through appropriate performance indicators, trend analysis, worker awareness, response and closure performance, repeated grievances, appeals and retaliation indicators.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Timely grievance registration: </w:t>
      </w:r>
      <w:r>
        <w:rPr>
          <w:rFonts w:ascii="Calibri" w:hAnsi="Calibri" w:cs="Arial"/>
          <w:sz w:val="24"/>
          <w:szCs w:val="24"/>
        </w:rPr>
        <w:t xml:space="preserve">100%</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Acknowledgement where contact is available: </w:t>
      </w:r>
      <w:r>
        <w:rPr>
          <w:rFonts w:ascii="Calibri" w:hAnsi="Calibri" w:cs="Arial"/>
          <w:sz w:val="24"/>
          <w:szCs w:val="24"/>
        </w:rPr>
        <w:t xml:space="preserve">100%</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Investigations completed within target: </w:t>
      </w:r>
      <w:r>
        <w:rPr>
          <w:rFonts w:ascii="Calibri" w:hAnsi="Calibri" w:cs="Arial"/>
          <w:sz w:val="24"/>
          <w:szCs w:val="24"/>
        </w:rPr>
        <w:t xml:space="preserve">≥ 95%</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Corrective actions completed on schedule: </w:t>
      </w:r>
      <w:r>
        <w:rPr>
          <w:rFonts w:ascii="Calibri" w:hAnsi="Calibri" w:cs="Arial"/>
          <w:sz w:val="24"/>
          <w:szCs w:val="24"/>
        </w:rPr>
        <w:t xml:space="preserve">≥ 95%</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Open grievances &gt;30 days without documented justification: </w:t>
      </w:r>
      <w:r>
        <w:rPr>
          <w:rFonts w:ascii="Calibri" w:hAnsi="Calibri" w:cs="Arial"/>
          <w:sz w:val="24"/>
          <w:szCs w:val="24"/>
        </w:rPr>
        <w:t xml:space="preserve">Zero</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Retaliation incidents linked to good-faith grievances: </w:t>
      </w:r>
      <w:r>
        <w:rPr>
          <w:rFonts w:ascii="Calibri" w:hAnsi="Calibri" w:cs="Arial"/>
          <w:sz w:val="24"/>
          <w:szCs w:val="24"/>
        </w:rPr>
        <w:t xml:space="preserve">Zero</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Worker awareness verification: </w:t>
      </w:r>
      <w:r>
        <w:rPr>
          <w:rFonts w:ascii="Calibri" w:hAnsi="Calibri" w:cs="Arial"/>
          <w:sz w:val="24"/>
          <w:szCs w:val="24"/>
        </w:rPr>
        <w:t xml:space="preserve">Every 3 months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Grievance trend analysis: </w:t>
      </w:r>
      <w:r>
        <w:rPr>
          <w:rFonts w:ascii="Calibri" w:hAnsi="Calibri" w:cs="Arial"/>
          <w:sz w:val="24"/>
          <w:szCs w:val="24"/>
        </w:rPr>
        <w:t xml:space="preserve">Quarterly</w:t>
      </w:r>
    </w:p>
    <w:p>
      <w:pPr>
        <w:pStyle w:val="ListeParagraf"/>
        <w:spacing w:after="80"/>
        <w:ind w:left="709" w:right="0"/>
        <w:jc w:val="both"/>
      </w:pPr>
      <w:r>
        <w:rPr>
          <w:rFonts w:ascii="Calibri" w:hAnsi="Calibri" w:cs="Arial"/>
          <w:sz w:val="24"/>
          <w:szCs w:val="24"/>
        </w:rPr>
        <w:t xml:space="preserve">Significant, repeated or systemic grievances shall be escalated to Top Management and considered, as applicable, within corrective action, objectives, management review and continual-improvement processes.</w:t>
      </w:r>
    </w:p>
    <w:p>
      <w:pPr>
        <w:pStyle w:val="ListeParagraf"/>
        <w:spacing w:before="120" w:after="60"/>
        <w:ind w:left="709" w:right="0"/>
      </w:pPr>
      <w:r>
        <w:rPr>
          <w:rFonts w:ascii="Calibri" w:hAnsi="Calibri" w:cs="Arial"/>
          <w:b/>
          <w:bCs/>
          <w:sz w:val="24"/>
          <w:szCs w:val="24"/>
        </w:rPr>
        <w:t xml:space="preserve">10. RECORDS AND DOCUMENTED INFORMATION</w:t>
      </w:r>
    </w:p>
    <w:p>
      <w:pPr>
        <w:pStyle w:val="ListeParagraf"/>
        <w:spacing w:after="80"/>
        <w:ind w:left="709" w:right="0"/>
        <w:jc w:val="both"/>
      </w:pPr>
      <w:r>
        <w:rPr>
          <w:rFonts w:ascii="Calibri" w:hAnsi="Calibri" w:cs="Arial"/>
          <w:sz w:val="24"/>
          <w:szCs w:val="24"/>
        </w:rPr>
        <w:t xml:space="preserve">Documented information supporting this Policy shall be maintained in accordance with the Company's document and record-control requirements and applicable legal/customer retention requirements. Relevant records include grievance registers, complaint-box records, investigation and CAPA records, appeals and closure records, worker consultation and awareness records, relevant environmental monitoring records, training records, worker comprehension surveys and management-review records.</w:t>
      </w:r>
    </w:p>
    <w:p>
      <w:pPr>
        <w:pStyle w:val="ListeParagraf"/>
        <w:spacing w:before="120" w:after="60"/>
        <w:ind w:left="709" w:right="0"/>
      </w:pPr>
      <w:r>
        <w:rPr>
          <w:rFonts w:ascii="Calibri" w:hAnsi="Calibri" w:cs="Arial"/>
          <w:b/>
          <w:bCs/>
          <w:sz w:val="24"/>
          <w:szCs w:val="24"/>
        </w:rPr>
        <w:t xml:space="preserve">11. RELATED CONTROLLED DOCUMENTS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EMS.SUS.PR-010 Grievance and Complaints Mechanism Procedure for Workers, Community and Stakeholders.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Interested Parties Register.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Legal &amp; Compliance Obligations Register.</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Corrective and Preventive Action (CAPA) Procedure.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Environmental Incident Reporting Procedure.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Emergency Preparedness and Response Procedure.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Chemical Management Procedure.</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Applicable HR and Worker-Welfare Procedures.</w:t>
      </w:r>
    </w:p>
    <w:p>
      <w:r>
        <w:br w:type="page"/>
      </w:r>
    </w:p>
    <w:p>
      <w:pPr>
        <w:pStyle w:val="ListeParagraf"/>
        <w:bidi/>
        <w:spacing w:before="120" w:after="60"/>
        <w:ind w:left="0" w:right="709"/>
      </w:pPr>
      <w:r>
        <w:rPr>
          <w:rFonts w:ascii="Calibri" w:hAnsi="Calibri" w:cs="Arial"/>
          <w:b/>
          <w:bCs/>
          <w:rtl/>
          <w:sz w:val="24"/>
          <w:szCs w:val="24"/>
        </w:rPr>
        <w:t xml:space="preserve">1. الالتزام بالسياسة</w:t>
      </w:r>
    </w:p>
    <w:p>
      <w:pPr>
        <w:pStyle w:val="ListeParagraf"/>
        <w:bidi/>
        <w:spacing w:after="80"/>
        <w:ind w:left="0" w:right="709"/>
        <w:jc w:val="both"/>
      </w:pPr>
      <w:r>
        <w:rPr>
          <w:rFonts w:ascii="Calibri" w:hAnsi="Calibri" w:cs="Arial"/>
          <w:rtl/>
          <w:sz w:val="24"/>
          <w:szCs w:val="24"/>
        </w:rPr>
        <w:t xml:space="preserve">تلتزم شركة إيروغلو للتريكو (EMS) بالحفاظ على آلية فعّالة وشفافة ومتاحة وعادلة ومحترِمة للتظلمات والشكاوى للعمال والمجتمع المحلي والأطراف المعنية الداخلية والخارجية. وتعترف الشركة بحق الأفراد والمجموعات في إثارة المخاوف المتعلقة بأنشطتها، وتلتزم بمعالجة هذه المخاوف دون انتقام أو معاملة سلبية.</w:t>
      </w:r>
    </w:p>
    <w:p>
      <w:pPr>
        <w:pStyle w:val="ListeParagraf"/>
        <w:bidi/>
        <w:spacing w:after="80"/>
        <w:ind w:left="0" w:right="709"/>
        <w:jc w:val="both"/>
      </w:pPr>
      <w:r>
        <w:rPr>
          <w:rFonts w:ascii="Calibri" w:hAnsi="Calibri" w:cs="Arial"/>
          <w:rtl/>
          <w:sz w:val="24"/>
          <w:szCs w:val="24"/>
        </w:rPr>
        <w:t xml:space="preserve">وستحافظ الشركة على آلية تدعم النظر في التظلمات في الوقت المناسب وبحياد، وحماية السرية، والإبلاغ دون الكشف عن الهوية حيثما أمكن، واتخاذ الإجراءات التصحيحية المناسبة، والتحقق من الفعالية، والاستئناف والتصعيد، والتحسين المستمر.</w:t>
      </w:r>
    </w:p>
    <w:p>
      <w:pPr>
        <w:pStyle w:val="ListeParagraf"/>
        <w:bidi/>
        <w:spacing w:before="120" w:after="60"/>
        <w:ind w:left="0" w:right="709"/>
      </w:pPr>
      <w:r>
        <w:rPr>
          <w:rFonts w:ascii="Calibri" w:hAnsi="Calibri" w:cs="Arial"/>
          <w:b/>
          <w:bCs/>
          <w:rtl/>
          <w:sz w:val="24"/>
          <w:szCs w:val="24"/>
        </w:rPr>
        <w:t xml:space="preserve">2. النطاق</w:t>
      </w:r>
    </w:p>
    <w:p>
      <w:pPr>
        <w:pStyle w:val="ListeParagraf"/>
        <w:bidi/>
        <w:spacing w:after="80"/>
        <w:ind w:left="0" w:right="709"/>
        <w:jc w:val="both"/>
      </w:pPr>
      <w:r>
        <w:rPr>
          <w:rFonts w:ascii="Calibri" w:hAnsi="Calibri" w:cs="Arial"/>
          <w:rtl/>
          <w:sz w:val="24"/>
          <w:szCs w:val="24"/>
        </w:rPr>
        <w:t xml:space="preserve">تنطبق هذه السياسة على جميع العمال والأقسام والعمليات والأنشطة في المنشأة، وعلى التظلمات المقدَّمة من العمال الدائمين والمؤقتين وعمال اليومية والعمال المعيَّنين عن طريق الوكالات؛ والمتدربين؛ والمقاولين ومقدمي الخدمات؛ وممثلي العمال أو النقابات العمالية حسب الاقتضاء؛ وأفراد المجتمع والجيران؛ والعملاء والموردين والزوار والأطراف المعنية الأخرى؛ والجهات الحكومية أو التنظيمية.</w:t>
      </w:r>
    </w:p>
    <w:p>
      <w:pPr>
        <w:pStyle w:val="ListeParagraf"/>
        <w:bidi/>
        <w:spacing w:after="80"/>
        <w:ind w:left="0" w:right="709"/>
        <w:jc w:val="both"/>
      </w:pPr>
      <w:r>
        <w:rPr>
          <w:rFonts w:ascii="Calibri" w:hAnsi="Calibri" w:cs="Arial"/>
          <w:rtl/>
          <w:sz w:val="24"/>
          <w:szCs w:val="24"/>
        </w:rPr>
        <w:t xml:space="preserve">وتشمل التظلمات الفردية والجماعية ومجهولة المصدر المتعلقة بالعمل والتوظيف، والتحرش والتمييز، والصحة والسلامة، والمسائل الكيميائية والبيئية، والتأثيرات على المجتمع، والأخلاقيات والسلوك، وغيرها من المسائل المشروعة المرتبطة بأنشطة الشركة.</w:t>
      </w:r>
    </w:p>
    <w:p>
      <w:pPr>
        <w:pStyle w:val="ListeParagraf"/>
        <w:bidi/>
        <w:spacing w:before="120" w:after="60"/>
        <w:ind w:left="0" w:right="709"/>
      </w:pPr>
      <w:r>
        <w:rPr>
          <w:rFonts w:ascii="Calibri" w:hAnsi="Calibri" w:cs="Arial"/>
          <w:b/>
          <w:bCs/>
          <w:rtl/>
          <w:sz w:val="24"/>
          <w:szCs w:val="24"/>
        </w:rPr>
        <w:t xml:space="preserve">3. مبادئ السياسة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سهولة الوصول: </w:t>
      </w:r>
      <w:r>
        <w:rPr>
          <w:rFonts w:ascii="Calibri" w:hAnsi="Calibri" w:cs="Arial"/>
          <w:rtl/>
          <w:sz w:val="24"/>
          <w:szCs w:val="24"/>
        </w:rPr>
        <w:t xml:space="preserve">يجب أن تكون قنوات التظلم مفهومة ومعروفة ومتاحة بشكل معقول للعمال والأطراف المعنية.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العدالة والحياد: </w:t>
      </w:r>
      <w:r>
        <w:rPr>
          <w:rFonts w:ascii="Calibri" w:hAnsi="Calibri" w:cs="Arial"/>
          <w:rtl/>
          <w:sz w:val="24"/>
          <w:szCs w:val="24"/>
        </w:rPr>
        <w:t xml:space="preserve">يُنظر في التظلمات بموضوعية ودون إصدار أحكام مسبقة على مقدم الشكوى أو على موضوع التظلم.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السرية: </w:t>
      </w:r>
      <w:r>
        <w:rPr>
          <w:rFonts w:ascii="Calibri" w:hAnsi="Calibri" w:cs="Arial"/>
          <w:rtl/>
          <w:sz w:val="24"/>
          <w:szCs w:val="24"/>
        </w:rPr>
        <w:t xml:space="preserve">تُحمى المعلومات الشخصية وتفاصيل التظلم إلى أقصى حد ممكن ومسموح به قانونًا.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عدم الكشف عن الهوية: </w:t>
      </w:r>
      <w:r>
        <w:rPr>
          <w:rFonts w:ascii="Calibri" w:hAnsi="Calibri" w:cs="Arial"/>
          <w:rtl/>
          <w:sz w:val="24"/>
          <w:szCs w:val="24"/>
        </w:rPr>
        <w:t xml:space="preserve">تُقبل التظلمات مجهولة المصدر ويُنظر فيها بالقدر الذي تسمح به المعلومات المتاحة.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عدم الانتقام: </w:t>
      </w:r>
      <w:r>
        <w:rPr>
          <w:rFonts w:ascii="Calibri" w:hAnsi="Calibri" w:cs="Arial"/>
          <w:rtl/>
          <w:sz w:val="24"/>
          <w:szCs w:val="24"/>
        </w:rPr>
        <w:t xml:space="preserve">يُحظر الانتقام أو التمييز أو التهديد أو الضغط أو العقوبات أو النقل التعسفي أو تخفيض المزايا أو المعاملة السلبية الناشئة عن تظلم مقدَّم بحسن 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الالتزام بالمواعيد: </w:t>
      </w:r>
      <w:r>
        <w:rPr>
          <w:rFonts w:ascii="Calibri" w:hAnsi="Calibri" w:cs="Arial"/>
          <w:rtl/>
          <w:sz w:val="24"/>
          <w:szCs w:val="24"/>
        </w:rPr>
        <w:t xml:space="preserve">تسعى الشركة إلى الإقرار بالتظلم وتقييمه وحله وإغلاقه بشكل سريع يتناسب مع طبيعة التظلم ودرجة تعقيده.</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تحليل السبب الجذري والإجراء التصحيحي: </w:t>
      </w:r>
      <w:r>
        <w:rPr>
          <w:rFonts w:ascii="Calibri" w:hAnsi="Calibri" w:cs="Arial"/>
          <w:rtl/>
          <w:sz w:val="24"/>
          <w:szCs w:val="24"/>
        </w:rPr>
        <w:t xml:space="preserve">تُعالج المسائل الثابتة أو المنهجية من خلال تدابير تصحيحية ووقائية مناسبة مع التحقق من فعاليتها.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الشفافية والتواصل: </w:t>
      </w:r>
      <w:r>
        <w:rPr>
          <w:rFonts w:ascii="Calibri" w:hAnsi="Calibri" w:cs="Arial"/>
          <w:rtl/>
          <w:sz w:val="24"/>
          <w:szCs w:val="24"/>
        </w:rPr>
        <w:t xml:space="preserve">يتلقى مقدمو الشكاوى المعلومات المناسبة بشأن النتائج والإجراءات المتخذة، مع مراعاة قيود السرية والقيود القانونية.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مشاركة العمال: </w:t>
      </w:r>
      <w:r>
        <w:rPr>
          <w:rFonts w:ascii="Calibri" w:hAnsi="Calibri" w:cs="Arial"/>
          <w:rtl/>
          <w:sz w:val="24"/>
          <w:szCs w:val="24"/>
        </w:rPr>
        <w:t xml:space="preserve">يكون لممثلي العمال وللعمال المعنيين دور مناسب في مراجعة آلية التظلم وتحسينها.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الحق في الانتصاف: </w:t>
      </w:r>
      <w:r>
        <w:rPr>
          <w:rFonts w:ascii="Calibri" w:hAnsi="Calibri" w:cs="Arial"/>
          <w:rtl/>
          <w:sz w:val="24"/>
          <w:szCs w:val="24"/>
        </w:rPr>
        <w:t xml:space="preserve">لا تقيّد الآلية الداخلية حق أي شخص في التواصل مع الجهات الحكومية أو التنظيمية أو القضائية المختصة.</w:t>
      </w:r>
    </w:p>
    <w:p>
      <w:pPr>
        <w:pStyle w:val="ListeParagraf"/>
        <w:bidi/>
        <w:spacing w:before="120" w:after="60"/>
        <w:ind w:left="0" w:right="709"/>
      </w:pPr>
      <w:r>
        <w:rPr>
          <w:rFonts w:ascii="Calibri" w:hAnsi="Calibri" w:cs="Arial"/>
          <w:b/>
          <w:bCs/>
          <w:rtl/>
          <w:sz w:val="24"/>
          <w:szCs w:val="24"/>
        </w:rPr>
        <w:t xml:space="preserve">4. التزامات الإدارة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توفير الموارد والصلاحيات الكافية والأفراد الأكفاء للحفاظ على آلية التظلم.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الحفاظ على قنوات داخلية مناسبة، بما في ذلك صناديق شكاوى العمال سهلة الوصول، والقنوات المناسبة عبر الإدارة والموارد البشرية والبيئة والصحة والسلامة وممثلي العمال.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ضمان إمكانية الوصول إلى صناديق الشكاوى دون إذن من المشرف، والحفاظ على السرية والحماية من الوصول غير المصرّح به.</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ضمان إطلاع العمال والأطراف المعنية على القنوات المتاحة وعلى حقوقهم في السرية وعدم الكشف عن الهوية وعدم التعرض للانتقام.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ضمان تصنيف التظلمات والتحقيق فيها ومعالجتها بالشكل المناسب، بما في ذلك التصعيد الفوري للحالات الحرجة عند الضرورة.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ضمان إدارة تضارب المصالح من خلال الاستقلالية المناسبة في المراجعة أو التحقيق.</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توفير مسار مناسب للاستئناف والتصعيد، والحفاظ على إمكانية اللجوء إلى القنوات الخارجية أو القانونية.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استخدام اتجاهات التظلمات والمسائل المتكررة والنتائج المنهجية كمدخلات للإجراءات التصحيحية ومراجعة الإدارة والتحسين المستمر.</w:t>
      </w:r>
    </w:p>
    <w:p>
      <w:pPr>
        <w:pStyle w:val="ListeParagraf"/>
        <w:bidi/>
        <w:spacing w:before="120" w:after="60"/>
        <w:ind w:left="0" w:right="709"/>
      </w:pPr>
      <w:r>
        <w:rPr>
          <w:rFonts w:ascii="Calibri" w:hAnsi="Calibri" w:cs="Arial"/>
          <w:b/>
          <w:bCs/>
          <w:rtl/>
          <w:sz w:val="24"/>
          <w:szCs w:val="24"/>
        </w:rPr>
        <w:t xml:space="preserve">5. السرية وعدم الكشف عن الهوية والحماية</w:t>
      </w:r>
    </w:p>
    <w:p>
      <w:pPr>
        <w:pStyle w:val="ListeParagraf"/>
        <w:bidi/>
        <w:spacing w:after="80"/>
        <w:ind w:left="0" w:right="709"/>
        <w:jc w:val="both"/>
      </w:pPr>
      <w:r>
        <w:rPr>
          <w:rFonts w:ascii="Calibri" w:hAnsi="Calibri" w:cs="Arial"/>
          <w:rtl/>
          <w:sz w:val="24"/>
          <w:szCs w:val="24"/>
        </w:rPr>
        <w:t xml:space="preserve">تحمي الشركة هوية مقدمي الشكاوى ومعلوماتهم الشخصية إلى أقصى حد ممكن ومسموح به قانونًا. وتُقبل الشكاوى مجهولة المصدر. ولا يُفصح عن المعلومات إلا للأشخاص الذين لديهم حاجة مشروعة لمعرفتها لأغراض التقييم أو التحقيق أو اتخاذ القرار أو الإجراء التصحيحي.</w:t>
      </w:r>
    </w:p>
    <w:p>
      <w:pPr>
        <w:pStyle w:val="ListeParagraf"/>
        <w:bidi/>
        <w:spacing w:after="80"/>
        <w:ind w:left="0" w:right="709"/>
        <w:jc w:val="both"/>
      </w:pPr>
      <w:r>
        <w:rPr>
          <w:rFonts w:ascii="Calibri" w:hAnsi="Calibri" w:cs="Arial"/>
          <w:rtl/>
          <w:sz w:val="24"/>
          <w:szCs w:val="24"/>
        </w:rPr>
        <w:t xml:space="preserve">لا يُجبر أي عامل على سحب تظلمه أو الكشف عن هويته عندما تسمح الآلية بالتقديم دون الكشف عن الهوية. ولا يترتب على استخدام آلية التظلم بحسن نية أي انتقام أو معاملة سلبية.</w:t>
      </w:r>
    </w:p>
    <w:p>
      <w:pPr>
        <w:pStyle w:val="ListeParagraf"/>
        <w:bidi/>
        <w:spacing w:before="120" w:after="60"/>
        <w:ind w:left="0" w:right="709"/>
      </w:pPr>
      <w:r>
        <w:rPr>
          <w:rFonts w:ascii="Calibri" w:hAnsi="Calibri" w:cs="Arial"/>
          <w:b/>
          <w:bCs/>
          <w:rtl/>
          <w:sz w:val="24"/>
          <w:szCs w:val="24"/>
        </w:rPr>
        <w:t xml:space="preserve">6. التظلمات الحرجة</w:t>
      </w:r>
    </w:p>
    <w:p>
      <w:pPr>
        <w:pStyle w:val="ListeParagraf"/>
        <w:bidi/>
        <w:spacing w:after="80"/>
        <w:ind w:left="0" w:right="709"/>
        <w:jc w:val="both"/>
      </w:pPr>
      <w:r>
        <w:rPr>
          <w:rFonts w:ascii="Calibri" w:hAnsi="Calibri" w:cs="Arial"/>
          <w:rtl/>
          <w:sz w:val="24"/>
          <w:szCs w:val="24"/>
        </w:rPr>
        <w:t xml:space="preserve">تحظى الحالات التي تنطوي على خطر وشيك على الحياة أو السلامة، أو العنف أو التحرش الجسيم، أو الاشتباه في عمالة الأطفال أو العمل القسري، أو انسكابات المواد الكيميائية الخطرة، أو التلوث البيئي الجسيم، أو غيرها من الظروف التي تتطلب تدخلًا عاجلًا، باهتمام فوري من الإدارة وتُصعَّد وفقًا لمتطلبات الطوارئ والبيئة والصحة والسلامة والموارد البشرية والمتطلبات القانونية المعمول بها.</w:t>
      </w:r>
    </w:p>
    <w:p>
      <w:pPr>
        <w:pStyle w:val="ListeParagraf"/>
        <w:bidi/>
        <w:spacing w:before="120" w:after="60"/>
        <w:ind w:left="0" w:right="709"/>
      </w:pPr>
      <w:r>
        <w:rPr>
          <w:rFonts w:ascii="Calibri" w:hAnsi="Calibri" w:cs="Arial"/>
          <w:b/>
          <w:bCs/>
          <w:rtl/>
          <w:sz w:val="24"/>
          <w:szCs w:val="24"/>
        </w:rPr>
        <w:t xml:space="preserve">7. التوافق مع المتطلبات القانونية وأنظمة الإدارة</w:t>
      </w:r>
    </w:p>
    <w:p>
      <w:pPr>
        <w:pStyle w:val="ListeParagraf"/>
        <w:bidi/>
        <w:spacing w:after="80"/>
        <w:ind w:left="0" w:right="709"/>
        <w:jc w:val="both"/>
      </w:pPr>
      <w:r>
        <w:rPr>
          <w:rFonts w:ascii="Calibri" w:hAnsi="Calibri" w:cs="Arial"/>
          <w:rtl/>
          <w:sz w:val="24"/>
          <w:szCs w:val="24"/>
        </w:rPr>
        <w:t xml:space="preserve">تُطبَّق هذه السياسة وفقًا لسجل الالتزامات القانونية والامتثال الخاص بالمنشأة والمتطلبات المعمول بها، بما في ذلك:</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قانون البيئة المصري رقم 4 لسنة 1994 المعدَّل بالقانونين رقم 9 لسنة 2009 ورقم 105 لسنة 2015، ولائحته التنفيذية.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القانون رقم 202 لسنة 2020 بشأن تنظيم إدارة المخلفات.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قانون العمل المصري رقم 14 لسنة 2025 والأحكام المعمول بها بشأن العمل القسري والتحرش والتنمر والتمييز وتسوية منازعات العمل الفردية/الجماعية؛ ولا تحل هذه الآلية الداخلية محل الحقوق المقررة قانونًا. وقد ألغى القانون رقم 14 لسنة 2025 القانون رقم 12 لسنة 2003.</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الموافقة البيئية للمنشأة والتصاريح المعمول بها.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ISO 14001:2015، بما في ذلك المتطلبات ذات الصلة بالأطراف المعنية والتواصل ومراجعة الإدارة والتحسين المستمر.</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معيار الأداء 1 لمؤسسة التمويل الدولية (IFC) والإرشادات العامة للبيئة والصحة والسلامة الصادرة عنها.</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Higg FEM وHigg FSLM (Cascale)، حسب الاقتضاء.</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WRAP وإطار التقييم المتقارب (CAF) الخاص بـ SLCP، حسب الاقتضاء.</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نظام إدارة المواد الكيميائية (CMS) الخاص بـ ZDHC ومتطلبات العملاء المعمول بها بشأن التظلمات والامتثال الاجتماعي والبيئي ورفاهية العمال.</w:t>
      </w:r>
    </w:p>
    <w:p>
      <w:pPr>
        <w:pStyle w:val="ListeParagraf"/>
        <w:bidi/>
        <w:spacing w:before="120" w:after="60"/>
        <w:ind w:left="0" w:right="709"/>
      </w:pPr>
      <w:r>
        <w:rPr>
          <w:rFonts w:ascii="Calibri" w:hAnsi="Calibri" w:cs="Arial"/>
          <w:b/>
          <w:bCs/>
          <w:rtl/>
          <w:sz w:val="24"/>
          <w:szCs w:val="24"/>
        </w:rPr>
        <w:t xml:space="preserve">8. التوعية والتدريب وإشراك العمال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ينبغي توعية جميع العمال بالغرض من الآلية وبالقنوات المتاحة لهم.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يتلقى العمال المعلومات المناسبة حول استخدام صناديق الشكاوى والتقديم دون الكشف عن الهوية والسرية وعدم الانتقام.</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يتلقى أعضاء لجنة التظلمات والأفراد المسؤولون تدريبًا مناسبًا على إدارة التظلمات وحماية المعلومات.</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تُقدَّم مواد التوعية باللغة (اللغات) التي يفهمها العاملون.</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يُقيَّم فهم العمال للآلية كل ثلاثة أشهر من خلال استبيان مخصص لقياس الفهم، مدعومًا بالتدريب والمقابلات والمراجعات الدورية.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تحلّل إدارة الموارد البشرية نتائج الاستبيان بالتنسيق مع قسم البيئة لتحديد فجوات التوعية وتوجيه التدريب اللاحق.</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يُشرَك ممثلو العمال والعمال المعنيون في مراجعة فعالية الآلية وسهولة الوصول إليها.</w:t>
      </w:r>
    </w:p>
    <w:p>
      <w:pPr>
        <w:pStyle w:val="ListeParagraf"/>
        <w:bidi/>
        <w:spacing w:before="120" w:after="60"/>
        <w:ind w:left="0" w:right="709"/>
      </w:pPr>
      <w:r>
        <w:rPr>
          <w:rFonts w:ascii="Calibri" w:hAnsi="Calibri" w:cs="Arial"/>
          <w:b/>
          <w:bCs/>
          <w:rtl/>
          <w:sz w:val="24"/>
          <w:szCs w:val="24"/>
        </w:rPr>
        <w:t xml:space="preserve">9. الأداء والرصد والتحسين المستمر</w:t>
      </w:r>
    </w:p>
    <w:p>
      <w:pPr>
        <w:pStyle w:val="ListeParagraf"/>
        <w:bidi/>
        <w:spacing w:after="80"/>
        <w:ind w:left="0" w:right="709"/>
        <w:jc w:val="both"/>
      </w:pPr>
      <w:r>
        <w:rPr>
          <w:rFonts w:ascii="Calibri" w:hAnsi="Calibri" w:cs="Arial"/>
          <w:rtl/>
          <w:sz w:val="24"/>
          <w:szCs w:val="24"/>
        </w:rPr>
        <w:t xml:space="preserve">ترصد الشركة فعالية آلية التظلم من خلال مؤشرات أداء مناسبة، وتحليل الاتجاهات، ووعي العمال، وأداء الاستجابة والإغلاق، والتظلمات المتكررة، والاستئنافات، ومؤشرات الانتقام.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تسجيل التظلمات في الوقت المحدد: </w:t>
      </w:r>
      <w:r>
        <w:rPr>
          <w:rFonts w:ascii="Calibri" w:hAnsi="Calibri" w:cs="Arial"/>
          <w:rtl/>
          <w:sz w:val="24"/>
          <w:szCs w:val="24"/>
        </w:rPr>
        <w:t xml:space="preserve">100%</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الإقرار بالاستلام حيثما تتوفر وسيلة تواصل: </w:t>
      </w:r>
      <w:r>
        <w:rPr>
          <w:rFonts w:ascii="Calibri" w:hAnsi="Calibri" w:cs="Arial"/>
          <w:rtl/>
          <w:sz w:val="24"/>
          <w:szCs w:val="24"/>
        </w:rPr>
        <w:t xml:space="preserve">100%</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التحقيقات المنجزة ضمن المدة المستهدفة: </w:t>
      </w:r>
      <w:r>
        <w:rPr>
          <w:rFonts w:ascii="Calibri" w:hAnsi="Calibri" w:cs="Arial"/>
          <w:rtl/>
          <w:sz w:val="24"/>
          <w:szCs w:val="24"/>
        </w:rPr>
        <w:t xml:space="preserve">≥ 95%</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الإجراءات التصحيحية المنجزة في موعدها: </w:t>
      </w:r>
      <w:r>
        <w:rPr>
          <w:rFonts w:ascii="Calibri" w:hAnsi="Calibri" w:cs="Arial"/>
          <w:rtl/>
          <w:sz w:val="24"/>
          <w:szCs w:val="24"/>
        </w:rPr>
        <w:t xml:space="preserve">≥ 95%</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التظلمات المفتوحة لأكثر من 30 يومًا دون مبرر موثق: </w:t>
      </w:r>
      <w:r>
        <w:rPr>
          <w:rFonts w:ascii="Calibri" w:hAnsi="Calibri" w:cs="Arial"/>
          <w:rtl/>
          <w:sz w:val="24"/>
          <w:szCs w:val="24"/>
        </w:rPr>
        <w:t xml:space="preserve">صفر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حوادث الانتقام المرتبطة بتظلمات مقدَّمة بحسن نية: </w:t>
      </w:r>
      <w:r>
        <w:rPr>
          <w:rFonts w:ascii="Calibri" w:hAnsi="Calibri" w:cs="Arial"/>
          <w:rtl/>
          <w:sz w:val="24"/>
          <w:szCs w:val="24"/>
        </w:rPr>
        <w:t xml:space="preserve">صفر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التحقق من وعي العمال: </w:t>
      </w:r>
      <w:r>
        <w:rPr>
          <w:rFonts w:ascii="Calibri" w:hAnsi="Calibri" w:cs="Arial"/>
          <w:rtl/>
          <w:sz w:val="24"/>
          <w:szCs w:val="24"/>
        </w:rPr>
        <w:t xml:space="preserve">كل 3 أشهر</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تحليل اتجاهات التظلمات: </w:t>
      </w:r>
      <w:r>
        <w:rPr>
          <w:rFonts w:ascii="Calibri" w:hAnsi="Calibri" w:cs="Arial"/>
          <w:rtl/>
          <w:sz w:val="24"/>
          <w:szCs w:val="24"/>
        </w:rPr>
        <w:t xml:space="preserve">ربع سنوي</w:t>
      </w:r>
    </w:p>
    <w:p>
      <w:pPr>
        <w:pStyle w:val="ListeParagraf"/>
        <w:bidi/>
        <w:spacing w:after="80"/>
        <w:ind w:left="0" w:right="709"/>
        <w:jc w:val="both"/>
      </w:pPr>
      <w:r>
        <w:rPr>
          <w:rFonts w:ascii="Calibri" w:hAnsi="Calibri" w:cs="Arial"/>
          <w:rtl/>
          <w:sz w:val="24"/>
          <w:szCs w:val="24"/>
        </w:rPr>
        <w:t xml:space="preserve">تُصعَّد التظلمات الجوهرية أو المتكررة أو المنهجية إلى الإدارة العليا ويُنظر فيها، حسب الاقتضاء، ضمن عمليات الإجراءات التصحيحية والأهداف ومراجعة الإدارة والتحسين المستمر.</w:t>
      </w:r>
    </w:p>
    <w:p>
      <w:pPr>
        <w:pStyle w:val="ListeParagraf"/>
        <w:bidi/>
        <w:spacing w:before="120" w:after="60"/>
        <w:ind w:left="0" w:right="709"/>
      </w:pPr>
      <w:r>
        <w:rPr>
          <w:rFonts w:ascii="Calibri" w:hAnsi="Calibri" w:cs="Arial"/>
          <w:b/>
          <w:bCs/>
          <w:rtl/>
          <w:sz w:val="24"/>
          <w:szCs w:val="24"/>
        </w:rPr>
        <w:t xml:space="preserve">10. السجلات والمعلومات الموثقة</w:t>
      </w:r>
    </w:p>
    <w:p>
      <w:pPr>
        <w:pStyle w:val="ListeParagraf"/>
        <w:bidi/>
        <w:spacing w:after="80"/>
        <w:ind w:left="0" w:right="709"/>
        <w:jc w:val="both"/>
      </w:pPr>
      <w:r>
        <w:rPr>
          <w:rFonts w:ascii="Calibri" w:hAnsi="Calibri" w:cs="Arial"/>
          <w:rtl/>
          <w:sz w:val="24"/>
          <w:szCs w:val="24"/>
        </w:rPr>
        <w:t xml:space="preserve">يُحتفظ بالمعلومات الموثقة الداعمة لهذه السياسة وفقًا لمتطلبات الشركة الخاصة بضبط الوثائق والسجلات ومتطلبات الحفظ القانونية/متطلبات العملاء المعمول بها. وتشمل السجلات ذات الصلة: سجلات التظلمات، وسجلات صناديق الشكاوى، وسجلات التحقيق والإجراءات التصحيحية والوقائية (CAPA)، وسجلات الاستئناف والإغلاق، وسجلات التشاور مع العمال وتوعيتهم، وسجلات الرصد البيئي ذات الصلة، وسجلات التدريب، واستبيانات فهم العمال، وسجلات مراجعة الإدارة.</w:t>
      </w:r>
    </w:p>
    <w:p>
      <w:pPr>
        <w:pStyle w:val="ListeParagraf"/>
        <w:bidi/>
        <w:spacing w:before="120" w:after="60"/>
        <w:ind w:left="0" w:right="709"/>
      </w:pPr>
      <w:r>
        <w:rPr>
          <w:rFonts w:ascii="Calibri" w:hAnsi="Calibri" w:cs="Arial"/>
          <w:b/>
          <w:bCs/>
          <w:rtl/>
          <w:sz w:val="24"/>
          <w:szCs w:val="24"/>
        </w:rPr>
        <w:t xml:space="preserve">11. الوثائق الخاضعة للرقابة ذات الصلة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EMS.SUS.PR-010 إجراء آلية التظلمات والشكاوى للعمال والمجتمع والأطراف المعنية.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سجل الأطراف المعنية.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سجل الالتزامات القانونية والامتثال.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إجراء الإجراءات التصحيحية والوقائية (CAPA).</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إجراء الإبلاغ عن الحوادث البيئية.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إجراء الاستعداد والاستجابة للطوارئ.</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إجراء إدارة المواد الكيميائية.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إجراءات الموارد البشرية ورفاهية العمال المعمول بها.</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GRIEVANCE AND COMPLAINTS POLICY</w:t>
          </w:r>
        </w:p>
        <w:p>
          <w:pPr>
            <w:pStyle w:val="GvdeMetni2"/>
            <w:bidi/>
            <w:spacing w:line="276" w:lineRule="auto"/>
            <w:jc w:val="center"/>
          </w:pPr>
          <w:r>
            <w:rPr>
              <w:rFonts w:asciiTheme="minorHAnsi" w:hAnsiTheme="minorHAnsi" w:cs="Arial"/>
              <w:b/>
              <w:bCs/>
              <w:color w:val="000000" w:themeColor="text1"/>
              <w:sz w:val="22"/>
              <w:szCs w:val="22"/>
              <w:rtl/>
            </w:rPr>
            <w:t>سياسة التظلمات والشكاوى</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EMS.İK.POL.01.04.</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6.10.2026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EMS.BG.POL.15.01. INFORMATION SECURITY AND DATA PROTECTION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