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aims to prevent all behaviour that violates human dignity, such as harassment, sexual harassment and psychological intimidation (mobbing), in all working environments of Eroglu Knitting (EMS), including its supplier ecosystem, and to operate effective intervention and sanction mechanisms when such incidents are identified. Our company is committed to protecting the physical, mental and emotional integrity of all employees by establishing an inclusive, fair and safe working environment.</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permanent, contract, part-time and temporary employees and interns of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of suppliers, sub-contractors and subcontracted service providers;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Visitors and business partners who have a relationship with the company.</w:t>
      </w:r>
    </w:p>
    <w:p>
      <w:pPr>
        <w:pStyle w:val="ListeParagraf"/>
        <w:spacing w:after="80"/>
        <w:ind w:left="709" w:right="0"/>
        <w:jc w:val="both"/>
      </w:pPr>
      <w:r>
        <w:rPr>
          <w:rFonts w:ascii="Calibri" w:hAnsi="Calibri" w:cs="Arial"/>
          <w:sz w:val="24"/>
          <w:szCs w:val="24"/>
        </w:rPr>
        <w:t xml:space="preserve">The procedure applies in all physical and digital environments, both within the company and wherever people are present for business purposes.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Department: </w:t>
      </w:r>
      <w:r>
        <w:rPr>
          <w:rFonts w:ascii="Calibri" w:hAnsi="Calibri" w:cs="Arial"/>
          <w:sz w:val="24"/>
          <w:szCs w:val="24"/>
        </w:rPr>
        <w:t xml:space="preserve">Responsible for receiving complaints, examining them confidentially, conducting the process, planning awareness training and keeping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Unit Managers: </w:t>
      </w:r>
      <w:r>
        <w:rPr>
          <w:rFonts w:ascii="Calibri" w:hAnsi="Calibri" w:cs="Arial"/>
          <w:sz w:val="24"/>
          <w:szCs w:val="24"/>
        </w:rPr>
        <w:t xml:space="preserve">Obliged to raise awareness within their teams, ensure a safe environment and report possible violations without delay.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w:t>
      </w:r>
      <w:r>
        <w:rPr>
          <w:rFonts w:ascii="Calibri" w:hAnsi="Calibri" w:cs="Arial"/>
          <w:sz w:val="24"/>
          <w:szCs w:val="24"/>
        </w:rPr>
        <w:t xml:space="preserve">Obliged to be informed about the procedure, comply with these rules and report any situations they witness to Human Resources.</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Harassment: </w:t>
      </w:r>
      <w:r>
        <w:rPr>
          <w:rFonts w:ascii="Calibri" w:hAnsi="Calibri" w:cs="Arial"/>
          <w:sz w:val="24"/>
          <w:szCs w:val="24"/>
        </w:rPr>
        <w:t xml:space="preserve">Exposing an employee to unwanted verbal, written, physical or digital behaviour. Such behaviour may be degrading, humiliating, threatening or damaging to reputation.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Mobbing (Psychological Intimidation): </w:t>
      </w:r>
      <w:r>
        <w:rPr>
          <w:rFonts w:ascii="Calibri" w:hAnsi="Calibri" w:cs="Arial"/>
          <w:sz w:val="24"/>
          <w:szCs w:val="24"/>
        </w:rPr>
        <w:t xml:space="preserve">Exclusionary, oppressive, belittling or intimidating behaviour applied systematically against a person over a long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Sexual Harassment: </w:t>
      </w:r>
      <w:r>
        <w:rPr>
          <w:rFonts w:ascii="Calibri" w:hAnsi="Calibri" w:cs="Arial"/>
          <w:sz w:val="24"/>
          <w:szCs w:val="24"/>
        </w:rPr>
        <w:t xml:space="preserve">Any non-consensual, unwanted words, innuendo, looks, touching, propositions or digital behaviour of a sexual nature.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Digital Harassment: </w:t>
      </w:r>
      <w:r>
        <w:rPr>
          <w:rFonts w:ascii="Calibri" w:hAnsi="Calibri" w:cs="Arial"/>
          <w:sz w:val="24"/>
          <w:szCs w:val="24"/>
        </w:rPr>
        <w:t xml:space="preserve">Unwanted behaviour carried out via social media, e-mail, messaging tools, etc., which disturbs the person and is continued in the digital environment.</w:t>
      </w:r>
    </w:p>
    <w:p>
      <w:pPr>
        <w:pStyle w:val="ListeParagraf"/>
        <w:spacing w:before="120" w:after="60"/>
        <w:ind w:left="709" w:right="0"/>
      </w:pPr>
      <w:r>
        <w:rPr>
          <w:rFonts w:ascii="Calibri" w:hAnsi="Calibri" w:cs="Arial"/>
          <w:b/>
          <w:bCs/>
          <w:sz w:val="24"/>
          <w:szCs w:val="24"/>
        </w:rPr>
        <w:t xml:space="preserve">5. MAIN AND SUB-PROCESSES</w:t>
      </w:r>
    </w:p>
    <w:p>
      <w:pPr>
        <w:pStyle w:val="ListeParagraf"/>
        <w:spacing w:before="80" w:after="40"/>
        <w:ind w:left="709" w:right="0"/>
      </w:pPr>
      <w:r>
        <w:rPr>
          <w:rFonts w:ascii="Calibri" w:hAnsi="Calibri" w:cs="Arial"/>
          <w:b/>
          <w:bCs/>
          <w:sz w:val="24"/>
          <w:szCs w:val="24"/>
        </w:rPr>
        <w:t xml:space="preserve">5.1 Implementation</w:t>
      </w:r>
    </w:p>
    <w:p>
      <w:pPr>
        <w:pStyle w:val="ListeParagraf"/>
        <w:spacing w:after="80"/>
        <w:ind w:left="709" w:right="0"/>
        <w:jc w:val="both"/>
      </w:pPr>
      <w:r>
        <w:rPr>
          <w:rFonts w:ascii="Calibri" w:hAnsi="Calibri" w:cs="Arial"/>
          <w:sz w:val="24"/>
          <w:szCs w:val="24"/>
        </w:rPr>
        <w:t xml:space="preserve">5.1.1 No employee, including those of Eroglu Knitting (EMS) and its suppliers, may be subjected to any harassment or psychological intimidation. Working in an equal, respectful and safe environment is a fundamental right of everyone in the workplace.</w:t>
      </w:r>
    </w:p>
    <w:p>
      <w:pPr>
        <w:pStyle w:val="ListeParagraf"/>
        <w:spacing w:after="80"/>
        <w:ind w:left="709" w:right="0"/>
        <w:jc w:val="both"/>
      </w:pPr>
      <w:r>
        <w:rPr>
          <w:rFonts w:ascii="Calibri" w:hAnsi="Calibri" w:cs="Arial"/>
          <w:sz w:val="24"/>
          <w:szCs w:val="24"/>
        </w:rPr>
        <w:t xml:space="preserve">5.1.2 In case of suspected harassment or mobbing, the parties to the incident are heard and an impartial investigation process is initiated on a confidential basis. The right of both parties to be heard is guaranteed.</w:t>
      </w:r>
    </w:p>
    <w:p>
      <w:pPr>
        <w:pStyle w:val="ListeParagraf"/>
        <w:spacing w:after="80"/>
        <w:ind w:left="709" w:right="0"/>
        <w:jc w:val="both"/>
      </w:pPr>
      <w:r>
        <w:rPr>
          <w:rFonts w:ascii="Calibri" w:hAnsi="Calibri" w:cs="Arial"/>
          <w:sz w:val="24"/>
          <w:szCs w:val="24"/>
        </w:rPr>
        <w:t xml:space="preserve">5.1.3 The following steps are followed for identified violations: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EG.İK.PRO.02.01. Disciplinary Procedure is applied; depending on the nature of the incident, sanctions such as a warning, seniority reduction, change of duty or termination of the employment contract may be applied.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Where deemed necessary, the judicial authorities are notified.</w:t>
      </w:r>
    </w:p>
    <w:p>
      <w:pPr>
        <w:pStyle w:val="ListeParagraf"/>
        <w:spacing w:after="80"/>
        <w:ind w:left="709" w:right="0"/>
        <w:jc w:val="both"/>
      </w:pPr>
      <w:r>
        <w:rPr>
          <w:rFonts w:ascii="Calibri" w:hAnsi="Calibri" w:cs="Arial"/>
          <w:sz w:val="24"/>
          <w:szCs w:val="24"/>
        </w:rPr>
        <w:t xml:space="preserve">5.1.4 If such behaviour is identified at supplier or business partner companies, the following steps are applied: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meeting is held with the company and a written warning is issued.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Special training on harassment and mobbing awareness is planned.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violation recurs, the business relationship is reviewed and termination of the contract may be considered.</w:t>
      </w:r>
    </w:p>
    <w:p>
      <w:pPr>
        <w:pStyle w:val="ListeParagraf"/>
        <w:spacing w:after="80"/>
        <w:ind w:left="709" w:right="0"/>
        <w:jc w:val="both"/>
      </w:pPr>
      <w:r>
        <w:rPr>
          <w:rFonts w:ascii="Calibri" w:hAnsi="Calibri" w:cs="Arial"/>
          <w:sz w:val="24"/>
          <w:szCs w:val="24"/>
        </w:rPr>
        <w:t xml:space="preserve">5.1.5 Training and Preventive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Training on "Protection against Harassment and Abuse" is provided as part of the "Social Compliance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applications made to HR are handled confidentially, and no employee is allowed to be victimised because of a report.</w:t>
      </w: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At the end of each year, the effectiveness of the procedure is reviewed by Human Resources, and it may be revised after evaluating the reports and suggestions received from employees.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منع جميع السلوكيات التي تمس الكرامة الإنسانية، مثل التحرش والتحرش الجنسي والترهيب النفسي (التنمر الوظيفي)، في جميع بيئات العمل لدى إيروغلو للتريكو (EMS) بما في ذلك منظومة الموردين، وإلى تفعيل آليات فعالة للتدخل وتطبيق الجزاءات عند اكتشاف مثل هذه الحالات. وتلتزم شركتنا بحماية السلامة الجسدية والنفسية والعاطفية لجميع العاملين من خلال توفير بيئة عمل شاملة وعادلة وآمنة.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العاملين الدائمين والمتعاقدين وبدوام جزئي والمؤقتين والمتدربين في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العاملين لدى الموردين والمقاولين من الباطن ومقدمي الخدمات المتعاقد معهم؛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الزوار وشركاء العمل الذين تربطهم علاقة بالشركة.</w:t>
      </w:r>
    </w:p>
    <w:p>
      <w:pPr>
        <w:pStyle w:val="ListeParagraf"/>
        <w:bidi/>
        <w:spacing w:after="80"/>
        <w:ind w:left="0" w:right="709"/>
        <w:jc w:val="both"/>
      </w:pPr>
      <w:r>
        <w:rPr>
          <w:rFonts w:ascii="Calibri" w:hAnsi="Calibri" w:cs="Arial"/>
          <w:rtl/>
          <w:sz w:val="24"/>
          <w:szCs w:val="24"/>
        </w:rPr>
        <w:t xml:space="preserve">يسري الإجراء في جميع البيئات المادية والرقمية، سواء داخل الشركة أو في أي مكان يتواجد فيه الأشخاص لأغراض العمل.</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الموارد البشرية: </w:t>
      </w:r>
      <w:r>
        <w:rPr>
          <w:rFonts w:ascii="Calibri" w:hAnsi="Calibri" w:cs="Arial"/>
          <w:rtl/>
          <w:sz w:val="24"/>
          <w:szCs w:val="24"/>
        </w:rPr>
        <w:t xml:space="preserve">مسؤولة عن تلقي الشكاوى ودراستها بسرية، وإدارة العملية، وتخطيط تدريبات التوعية، وتوثيقها في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الوحدات: </w:t>
      </w:r>
      <w:r>
        <w:rPr>
          <w:rFonts w:ascii="Calibri" w:hAnsi="Calibri" w:cs="Arial"/>
          <w:rtl/>
          <w:sz w:val="24"/>
          <w:szCs w:val="24"/>
        </w:rPr>
        <w:t xml:space="preserve">ملزمون بنشر الوعي داخل فرقهم، وتوفير بيئة آمنة، والإبلاغ عن المخالفات المحتملة دون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العاملون: </w:t>
      </w:r>
      <w:r>
        <w:rPr>
          <w:rFonts w:ascii="Calibri" w:hAnsi="Calibri" w:cs="Arial"/>
          <w:rtl/>
          <w:sz w:val="24"/>
          <w:szCs w:val="24"/>
        </w:rPr>
        <w:t xml:space="preserve">ملزمون بالاطلاع على الإجراء، والالتزام بهذه القواعد، والإبلاغ عن أي حالات يشهدونها إلى الموارد البشرية.</w:t>
      </w:r>
    </w:p>
    <w:p>
      <w:pPr>
        <w:pStyle w:val="ListeParagraf"/>
        <w:bidi/>
        <w:spacing w:before="120" w:after="60"/>
        <w:ind w:left="0" w:right="709"/>
      </w:pPr>
      <w:r>
        <w:rPr>
          <w:rFonts w:ascii="Calibri" w:hAnsi="Calibri" w:cs="Arial"/>
          <w:b/>
          <w:bCs/>
          <w:rtl/>
          <w:sz w:val="24"/>
          <w:szCs w:val="24"/>
        </w:rPr>
        <w:t xml:space="preserve">4.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w:t>
      </w:r>
      <w:r>
        <w:rPr>
          <w:rFonts w:ascii="Calibri" w:hAnsi="Calibri" w:cs="Arial"/>
          <w:rtl/>
          <w:sz w:val="24"/>
          <w:szCs w:val="24"/>
        </w:rPr>
        <w:t xml:space="preserve">تعريض الموظف لسلوكيات غير مرغوب فيها، شفهية أو مكتوبة أو جسدية أو رقمية. وقد تكون هذه السلوكيات مهينة أو محطّة من القدر أو تهديدية أو ماسّة بالسمعة.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التنمر الوظيفي (الترهيب النفسي): </w:t>
      </w:r>
      <w:r>
        <w:rPr>
          <w:rFonts w:ascii="Calibri" w:hAnsi="Calibri" w:cs="Arial"/>
          <w:rtl/>
          <w:sz w:val="24"/>
          <w:szCs w:val="24"/>
        </w:rPr>
        <w:t xml:space="preserve">سلوكيات إقصائية أو قمعية أو تحقيرية أو ترهيبية تُمارَس بشكل منهجي ضد شخص ما على مدى فترة طويلة.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الجنسي: </w:t>
      </w:r>
      <w:r>
        <w:rPr>
          <w:rFonts w:ascii="Calibri" w:hAnsi="Calibri" w:cs="Arial"/>
          <w:rtl/>
          <w:sz w:val="24"/>
          <w:szCs w:val="24"/>
        </w:rPr>
        <w:t xml:space="preserve">أي أقوال أو تلميحات أو نظرات أو لمسات أو عروض أو سلوكيات رقمية ذات طابع جنسي تتم دون رضا وغير مرغوب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الرقمي: </w:t>
      </w:r>
      <w:r>
        <w:rPr>
          <w:rFonts w:ascii="Calibri" w:hAnsi="Calibri" w:cs="Arial"/>
          <w:rtl/>
          <w:sz w:val="24"/>
          <w:szCs w:val="24"/>
        </w:rPr>
        <w:t xml:space="preserve">سلوكيات غير مرغوب فيها تتم عبر وسائل التواصل الاجتماعي أو البريد الإلكتروني أو تطبيقات المراسلة وغيرها، تزعج الشخص وتستمر في البيئة الرقمية.</w:t>
      </w:r>
    </w:p>
    <w:p>
      <w:pPr>
        <w:pStyle w:val="ListeParagraf"/>
        <w:bidi/>
        <w:spacing w:before="120" w:after="60"/>
        <w:ind w:left="0" w:right="709"/>
      </w:pPr>
      <w:r>
        <w:rPr>
          <w:rFonts w:ascii="Calibri" w:hAnsi="Calibri" w:cs="Arial"/>
          <w:b/>
          <w:bCs/>
          <w:rtl/>
          <w:sz w:val="24"/>
          <w:szCs w:val="24"/>
        </w:rPr>
        <w:t xml:space="preserve">5. العمليات الرئيسية والفرعية</w:t>
      </w:r>
    </w:p>
    <w:p>
      <w:pPr>
        <w:pStyle w:val="ListeParagraf"/>
        <w:bidi/>
        <w:spacing w:before="80" w:after="40"/>
        <w:ind w:left="0" w:right="709"/>
      </w:pPr>
      <w:r>
        <w:rPr>
          <w:rFonts w:ascii="Calibri" w:hAnsi="Calibri" w:cs="Arial"/>
          <w:b/>
          <w:bCs/>
          <w:rtl/>
          <w:sz w:val="24"/>
          <w:szCs w:val="24"/>
        </w:rPr>
        <w:t xml:space="preserve">5.1 التطبيق</w:t>
      </w:r>
    </w:p>
    <w:p>
      <w:pPr>
        <w:pStyle w:val="ListeParagraf"/>
        <w:bidi/>
        <w:spacing w:after="80"/>
        <w:ind w:left="0" w:right="709"/>
        <w:jc w:val="both"/>
      </w:pPr>
      <w:r>
        <w:rPr>
          <w:rFonts w:ascii="Calibri" w:hAnsi="Calibri" w:cs="Arial"/>
          <w:rtl/>
          <w:sz w:val="24"/>
          <w:szCs w:val="24"/>
        </w:rPr>
        <w:t xml:space="preserve">5.1.1 لا يجوز تعريض أي موظف، بما في ذلك العاملون لدى إيروغلو للتريكو (EMS) ومورديها، لأي تحرش أو ترهيب نفسي. فالعمل في بيئة متساوية وآمنة يسودها الاحترام حق أساسي لكل فرد في مكان العمل.</w:t>
      </w:r>
    </w:p>
    <w:p>
      <w:pPr>
        <w:pStyle w:val="ListeParagraf"/>
        <w:bidi/>
        <w:spacing w:after="80"/>
        <w:ind w:left="0" w:right="709"/>
        <w:jc w:val="both"/>
      </w:pPr>
      <w:r>
        <w:rPr>
          <w:rFonts w:ascii="Calibri" w:hAnsi="Calibri" w:cs="Arial"/>
          <w:rtl/>
          <w:sz w:val="24"/>
          <w:szCs w:val="24"/>
        </w:rPr>
        <w:t xml:space="preserve">5.1.2 في حال الاشتباه في التحرش أو التنمر الوظيفي، يُستمع إلى أطراف الواقعة ويُبدأ تحقيق محايد على أساس السرية. ويُكفل حق الطرفين في الإدلاء بأقوالهما.</w:t>
      </w:r>
    </w:p>
    <w:p>
      <w:pPr>
        <w:pStyle w:val="ListeParagraf"/>
        <w:bidi/>
        <w:spacing w:after="80"/>
        <w:ind w:left="0" w:right="709"/>
        <w:jc w:val="both"/>
      </w:pPr>
      <w:r>
        <w:rPr>
          <w:rFonts w:ascii="Calibri" w:hAnsi="Calibri" w:cs="Arial"/>
          <w:rtl/>
          <w:sz w:val="24"/>
          <w:szCs w:val="24"/>
        </w:rPr>
        <w:t xml:space="preserve">5.1.3 تُتّبع الخطوات التالية في حالات المخالفات المثبتة: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يُفعَّل إجراء التأديب EG.İK.PRO.02.01.، ويجوز بحسب طبيعة الواقعة تطبيق جزاءات مثل الإنذار أو تخفيض الأقدمية أو تغيير المهام أو إنهاء عقد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الضرورة، يُلجأ إلى الجهات القضائية.</w:t>
      </w:r>
    </w:p>
    <w:p>
      <w:pPr>
        <w:pStyle w:val="ListeParagraf"/>
        <w:bidi/>
        <w:spacing w:after="80"/>
        <w:ind w:left="0" w:right="709"/>
        <w:jc w:val="both"/>
      </w:pPr>
      <w:r>
        <w:rPr>
          <w:rFonts w:ascii="Calibri" w:hAnsi="Calibri" w:cs="Arial"/>
          <w:rtl/>
          <w:sz w:val="24"/>
          <w:szCs w:val="24"/>
        </w:rPr>
        <w:t xml:space="preserve">5.1.4 في حال اكتشاف مثل هذه السلوكيات لدى الموردين أو الشركات الشريكة، تُطبَّق الخطوات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يُعقد اجتماع مع الشركة ويُوجَّه إليها إنذار كتابي.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تُخطَّط تدريبات خاصة للتوعية بالتحرش والتنمر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 تكرار المخالفة، تُراجَع علاقة التعاون وقد يُطرح إنهاء العقد.</w:t>
      </w:r>
    </w:p>
    <w:p>
      <w:pPr>
        <w:pStyle w:val="ListeParagraf"/>
        <w:bidi/>
        <w:spacing w:after="80"/>
        <w:ind w:left="0" w:right="709"/>
        <w:jc w:val="both"/>
      </w:pPr>
      <w:r>
        <w:rPr>
          <w:rFonts w:ascii="Calibri" w:hAnsi="Calibri" w:cs="Arial"/>
          <w:rtl/>
          <w:sz w:val="24"/>
          <w:szCs w:val="24"/>
        </w:rPr>
        <w:t xml:space="preserve">5.1.5 التدريب والممارسات 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تدريب حول "الحماية من التحرش والإساءة" ضمن "تدريب الامتثال الاجتماعي".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تُعالَج جميع الطلبات المقدمة إلى الموارد البشرية بسرية، ولا يُسمح بإلحاق الضرر بأي موظف بسبب قيامه بالإبلاغ.</w:t>
      </w: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في نهاية كل عام، تراجع الموارد البشرية مدى فعالية الإجراء، ويجوز تعديله بعد تقييم البلاغات والمقترحات الواردة من العاملين.</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PROTECTION AGAINST HARASSMENT AND ABUSE PROCEDURE</w:t>
          </w:r>
        </w:p>
        <w:p>
          <w:pPr>
            <w:pStyle w:val="GvdeMetni2"/>
            <w:bidi/>
            <w:spacing w:line="276" w:lineRule="auto"/>
            <w:jc w:val="center"/>
          </w:pPr>
          <w:r>
            <w:rPr>
              <w:rFonts w:asciiTheme="minorHAnsi" w:hAnsiTheme="minorHAnsi" w:cs="Arial"/>
              <w:b/>
              <w:bCs/>
              <w:color w:val="000000" w:themeColor="text1"/>
              <w:sz w:val="22"/>
              <w:szCs w:val="22"/>
              <w:rtl/>
            </w:rPr>
            <w:t>إجراء الحماية من التحرش والإساءة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